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sz w:val="44"/>
        </w:rPr>
      </w:pPr>
    </w:p>
    <w:p>
      <w:pPr>
        <w:spacing w:line="600" w:lineRule="exact"/>
        <w:jc w:val="center"/>
        <w:rPr>
          <w:rFonts w:eastAsia="方正小标宋简体"/>
          <w:sz w:val="44"/>
        </w:rPr>
      </w:pPr>
      <w:r>
        <w:rPr>
          <w:rFonts w:hint="eastAsia" w:eastAsia="方正小标宋简体"/>
          <w:sz w:val="44"/>
        </w:rPr>
        <w:t>关于完善居民基本养老保险政策</w:t>
      </w:r>
    </w:p>
    <w:p>
      <w:pPr>
        <w:spacing w:line="600" w:lineRule="exact"/>
        <w:jc w:val="center"/>
        <w:rPr>
          <w:rFonts w:eastAsia="方正小标宋简体"/>
          <w:sz w:val="44"/>
        </w:rPr>
      </w:pPr>
      <w:r>
        <w:rPr>
          <w:rFonts w:hint="eastAsia" w:eastAsia="方正小标宋简体"/>
          <w:sz w:val="44"/>
        </w:rPr>
        <w:t>有关问题的通知</w:t>
      </w:r>
    </w:p>
    <w:p>
      <w:pPr>
        <w:spacing w:line="600" w:lineRule="exact"/>
        <w:jc w:val="center"/>
        <w:rPr>
          <w:rFonts w:ascii="仿宋_GB2312" w:hAnsi="Times New Roman" w:eastAsia="仿宋_GB2312" w:cs="Times New Roman"/>
          <w:sz w:val="32"/>
          <w:szCs w:val="20"/>
        </w:rPr>
      </w:pPr>
      <w:r>
        <w:rPr>
          <w:rFonts w:hint="eastAsia" w:ascii="仿宋_GB2312" w:hAnsi="Times New Roman" w:eastAsia="仿宋_GB2312" w:cs="Times New Roman"/>
          <w:sz w:val="32"/>
          <w:szCs w:val="20"/>
        </w:rPr>
        <w:t>（征求意见稿）</w:t>
      </w:r>
    </w:p>
    <w:p>
      <w:pPr>
        <w:spacing w:line="600" w:lineRule="exact"/>
        <w:ind w:left="420"/>
        <w:rPr>
          <w:sz w:val="44"/>
        </w:rPr>
      </w:pP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根据《山东省人力资源和社会保障厅 山东省财政厅 国家税务总局山东省税务局 国家税务总局青岛市税务局关于完善居民基本养老保险政策有关问题的通知》（鲁人社发〔2022〕22号）和《转发鲁人社发〔2022〕22号文件全面做好完善落实居民基本养老保险政策有关工作的通知》（烟人社发〔2022〕21号），为进一步做好全区居民基本养老保险（以下简称“居民养老保险”）工作，不断改善参保居民生活，促进共同富裕，现就完善居民养老保险有关政策通知如下。</w:t>
      </w:r>
    </w:p>
    <w:p>
      <w:pPr>
        <w:spacing w:line="600" w:lineRule="exact"/>
        <w:ind w:firstLine="640" w:firstLineChars="200"/>
        <w:rPr>
          <w:rFonts w:ascii="黑体" w:hAnsi="黑体" w:eastAsia="黑体" w:cs="Times New Roman"/>
          <w:sz w:val="32"/>
          <w:szCs w:val="20"/>
        </w:rPr>
      </w:pPr>
      <w:r>
        <w:rPr>
          <w:rFonts w:ascii="黑体" w:hAnsi="黑体" w:eastAsia="黑体" w:cs="Times New Roman"/>
          <w:sz w:val="32"/>
          <w:szCs w:val="20"/>
        </w:rPr>
        <w:t>一</w:t>
      </w:r>
      <w:r>
        <w:rPr>
          <w:rFonts w:hint="eastAsia" w:ascii="黑体" w:hAnsi="黑体" w:eastAsia="黑体" w:cs="Times New Roman"/>
          <w:sz w:val="32"/>
          <w:szCs w:val="20"/>
        </w:rPr>
        <w:t>、关于缴费档次问题</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自2023年度起，居民养老保险个人缴费标准设为每年100元、350元、500元、800元、1000元、3000元、5000元、8000元8个档次。其中，100元档次只适用于重度残疾人等缴费困难群体。除100元档次外，参保人自主选择缴费档次，按年缴费，多缴多得。有条件的居民也可以选择市级暂保留执行的13000元最高缴费档次，但不作为补缴标准。 </w:t>
      </w:r>
    </w:p>
    <w:p>
      <w:pPr>
        <w:pStyle w:val="2"/>
        <w:spacing w:line="600" w:lineRule="exact"/>
        <w:ind w:firstLine="634"/>
        <w:rPr>
          <w:rFonts w:ascii="黑体" w:hAnsi="黑体" w:eastAsia="黑体"/>
        </w:rPr>
      </w:pPr>
      <w:r>
        <w:rPr>
          <w:rFonts w:ascii="黑体" w:hAnsi="黑体" w:eastAsia="黑体"/>
        </w:rPr>
        <w:t>二</w:t>
      </w:r>
      <w:r>
        <w:rPr>
          <w:rFonts w:hint="eastAsia" w:ascii="黑体" w:hAnsi="黑体" w:eastAsia="黑体"/>
        </w:rPr>
        <w:t>、关于</w:t>
      </w:r>
      <w:r>
        <w:rPr>
          <w:rFonts w:ascii="黑体" w:hAnsi="黑体" w:eastAsia="黑体"/>
        </w:rPr>
        <w:t>缴费政府补贴问题</w:t>
      </w:r>
    </w:p>
    <w:p>
      <w:pPr>
        <w:pStyle w:val="2"/>
        <w:spacing w:line="600" w:lineRule="exact"/>
        <w:ind w:firstLine="634"/>
        <w:rPr>
          <w:rFonts w:ascii="仿宋_GB2312"/>
          <w:szCs w:val="32"/>
        </w:rPr>
      </w:pPr>
      <w:r>
        <w:rPr>
          <w:rFonts w:hint="eastAsia" w:ascii="仿宋_GB2312"/>
          <w:szCs w:val="32"/>
        </w:rPr>
        <w:t>1.政府对参保居民个人缴费给予补贴。其中，选择350元、</w:t>
      </w:r>
      <w:r>
        <w:rPr>
          <w:rFonts w:hint="eastAsia" w:ascii="仿宋_GB2312"/>
        </w:rPr>
        <w:t>800元、1000元、3000元、5000元、8000元档次的，按相应档次的10%给予补贴；</w:t>
      </w:r>
      <w:r>
        <w:rPr>
          <w:rFonts w:hint="eastAsia" w:ascii="仿宋_GB2312"/>
          <w:szCs w:val="32"/>
        </w:rPr>
        <w:t>选择500元档次的，给予60元补贴；</w:t>
      </w:r>
      <w:r>
        <w:rPr>
          <w:rFonts w:hint="eastAsia" w:ascii="仿宋_GB2312"/>
        </w:rPr>
        <w:t>选择13000元最高档次，补贴标准与8000元档次一致。</w:t>
      </w:r>
    </w:p>
    <w:p>
      <w:pPr>
        <w:pStyle w:val="2"/>
        <w:spacing w:line="600" w:lineRule="exact"/>
        <w:ind w:firstLine="634"/>
        <w:rPr>
          <w:rFonts w:ascii="仿宋_GB2312"/>
          <w:szCs w:val="32"/>
        </w:rPr>
      </w:pPr>
      <w:r>
        <w:rPr>
          <w:rFonts w:hint="eastAsia" w:ascii="仿宋_GB2312"/>
          <w:szCs w:val="32"/>
        </w:rPr>
        <w:t>2.自2022年度起，</w:t>
      </w:r>
      <w:r>
        <w:rPr>
          <w:rFonts w:hint="eastAsia" w:ascii="仿宋_GB2312"/>
        </w:rPr>
        <w:t>对</w:t>
      </w:r>
      <w:r>
        <w:rPr>
          <w:rFonts w:ascii="仿宋_GB2312"/>
        </w:rPr>
        <w:t>重度残疾人</w:t>
      </w:r>
      <w:r>
        <w:rPr>
          <w:rFonts w:hint="eastAsia" w:ascii="仿宋_GB2312"/>
        </w:rPr>
        <w:t>、</w:t>
      </w:r>
      <w:r>
        <w:rPr>
          <w:rFonts w:ascii="仿宋_GB2312"/>
        </w:rPr>
        <w:t>低保对象</w:t>
      </w:r>
      <w:r>
        <w:rPr>
          <w:rFonts w:hint="eastAsia" w:ascii="仿宋_GB2312"/>
        </w:rPr>
        <w:t>、</w:t>
      </w:r>
      <w:r>
        <w:rPr>
          <w:rFonts w:ascii="仿宋_GB2312"/>
        </w:rPr>
        <w:t>特困人员</w:t>
      </w:r>
      <w:r>
        <w:rPr>
          <w:rFonts w:hint="eastAsia" w:ascii="仿宋_GB2312"/>
        </w:rPr>
        <w:t>、</w:t>
      </w:r>
      <w:r>
        <w:rPr>
          <w:rFonts w:ascii="仿宋_GB2312"/>
        </w:rPr>
        <w:t>脱贫享受政策人员等缴费困难群体</w:t>
      </w:r>
      <w:r>
        <w:rPr>
          <w:rFonts w:hint="eastAsia" w:ascii="仿宋_GB2312"/>
        </w:rPr>
        <w:t>，政府为其</w:t>
      </w:r>
      <w:r>
        <w:rPr>
          <w:rFonts w:ascii="仿宋_GB2312"/>
        </w:rPr>
        <w:t>代缴</w:t>
      </w:r>
      <w:r>
        <w:rPr>
          <w:rFonts w:hint="eastAsia" w:ascii="仿宋_GB2312"/>
        </w:rPr>
        <w:t>最低标准的养老保险费，同时给予100元的缴费</w:t>
      </w:r>
      <w:r>
        <w:rPr>
          <w:rFonts w:hint="eastAsia" w:ascii="仿宋_GB2312"/>
          <w:szCs w:val="32"/>
        </w:rPr>
        <w:t>补贴。</w:t>
      </w:r>
    </w:p>
    <w:p>
      <w:pPr>
        <w:pStyle w:val="2"/>
        <w:spacing w:line="600" w:lineRule="exact"/>
        <w:ind w:firstLine="634"/>
        <w:rPr>
          <w:rFonts w:ascii="仿宋_GB2312" w:hAnsi="仿宋_GB2312" w:cs="仿宋_GB2312"/>
          <w:szCs w:val="32"/>
        </w:rPr>
      </w:pPr>
      <w:r>
        <w:rPr>
          <w:rFonts w:hint="eastAsia" w:ascii="仿宋_GB2312"/>
          <w:szCs w:val="32"/>
        </w:rPr>
        <w:t>3.参保人应当逐年缴费。对达到待遇领取年龄但缴费年限不足的参保人，允许办理待遇领取手续当年一次性补缴，补缴后累计缴费年限不得超过15年。对于同时参加职工基本养老保险</w:t>
      </w:r>
      <w:r>
        <w:rPr>
          <w:rFonts w:hint="eastAsia" w:ascii="仿宋_GB2312" w:hAnsi="仿宋_GB2312" w:cs="仿宋_GB2312"/>
          <w:szCs w:val="32"/>
        </w:rPr>
        <w:t>（</w:t>
      </w:r>
      <w:r>
        <w:rPr>
          <w:rFonts w:hint="eastAsia" w:ascii="仿宋_GB2312"/>
        </w:rPr>
        <w:t>以下简称“职工养老保险”</w:t>
      </w:r>
      <w:r>
        <w:rPr>
          <w:rFonts w:hint="eastAsia" w:ascii="仿宋_GB2312" w:hAnsi="仿宋_GB2312" w:cs="仿宋_GB2312"/>
          <w:szCs w:val="32"/>
        </w:rPr>
        <w:t>）</w:t>
      </w:r>
      <w:r>
        <w:rPr>
          <w:rFonts w:hint="eastAsia" w:ascii="仿宋_GB2312"/>
          <w:szCs w:val="32"/>
        </w:rPr>
        <w:t>和居民养老保险的，补缴前</w:t>
      </w:r>
      <w:r>
        <w:rPr>
          <w:rFonts w:hint="eastAsia" w:ascii="仿宋_GB2312" w:hAnsi="仿宋_GB2312" w:cs="仿宋_GB2312"/>
          <w:szCs w:val="32"/>
        </w:rPr>
        <w:t>应先核实职工养老保险的缴费情况，职工养老保险转移居民养老保险合计不足15年的，可一</w:t>
      </w:r>
      <w:r>
        <w:rPr>
          <w:rFonts w:hint="eastAsia" w:hAnsi="Calibri" w:cs="黑体"/>
          <w:kern w:val="0"/>
        </w:rPr>
        <w:t>次性补缴至15年</w:t>
      </w:r>
      <w:r>
        <w:rPr>
          <w:rFonts w:hint="eastAsia" w:ascii="仿宋_GB2312" w:hAnsi="仿宋_GB2312" w:cs="仿宋_GB2312"/>
          <w:szCs w:val="32"/>
        </w:rPr>
        <w:t>。补缴不享受缴费补贴，不计入年限基础养老金的缴费年限。</w:t>
      </w:r>
    </w:p>
    <w:p>
      <w:pPr>
        <w:pStyle w:val="2"/>
        <w:spacing w:line="600" w:lineRule="exact"/>
        <w:ind w:firstLine="634"/>
        <w:rPr>
          <w:rFonts w:ascii="黑体" w:hAnsi="黑体" w:eastAsia="黑体"/>
        </w:rPr>
      </w:pPr>
      <w:r>
        <w:rPr>
          <w:rFonts w:hint="eastAsia" w:ascii="黑体" w:hAnsi="黑体" w:eastAsia="黑体"/>
        </w:rPr>
        <w:t>三、关于失地居民养老保险衔接问题</w:t>
      </w:r>
    </w:p>
    <w:p>
      <w:pPr>
        <w:pStyle w:val="2"/>
        <w:spacing w:line="600" w:lineRule="exact"/>
        <w:ind w:firstLine="634"/>
        <w:rPr>
          <w:rFonts w:ascii="仿宋_GB2312"/>
        </w:rPr>
      </w:pPr>
      <w:r>
        <w:rPr>
          <w:rFonts w:hint="eastAsia" w:ascii="仿宋_GB2312"/>
        </w:rPr>
        <w:t>1.失地居</w:t>
      </w:r>
      <w:r>
        <w:rPr>
          <w:rFonts w:hint="eastAsia" w:ascii="仿宋_GB2312"/>
          <w:szCs w:val="32"/>
        </w:rPr>
        <w:t>民（指土地征用后，户人均土地不足0.3亩的原始居民，以农业农村部门办理的失地证或失地花名册为准）缴费档次、缴费年限计算、补缴标准与居民一致</w:t>
      </w:r>
      <w:r>
        <w:rPr>
          <w:rFonts w:hint="eastAsia" w:ascii="仿宋_GB2312"/>
        </w:rPr>
        <w:t>。</w:t>
      </w:r>
    </w:p>
    <w:p>
      <w:pPr>
        <w:pStyle w:val="2"/>
        <w:spacing w:line="600" w:lineRule="exact"/>
        <w:ind w:firstLine="634"/>
        <w:rPr>
          <w:rFonts w:ascii="仿宋_GB2312"/>
          <w:szCs w:val="32"/>
        </w:rPr>
      </w:pPr>
      <w:r>
        <w:rPr>
          <w:rFonts w:hint="eastAsia" w:ascii="仿宋_GB2312"/>
          <w:szCs w:val="32"/>
        </w:rPr>
        <w:t>2.</w:t>
      </w:r>
      <w:r>
        <w:rPr>
          <w:rFonts w:hint="eastAsia" w:ascii="仿宋_GB2312"/>
        </w:rPr>
        <w:t>对本</w:t>
      </w:r>
      <w:r>
        <w:rPr>
          <w:rFonts w:hint="eastAsia" w:ascii="仿宋_GB2312"/>
          <w:szCs w:val="32"/>
        </w:rPr>
        <w:t>通知出台之前的失地居民缴费部分，政府在其达到待遇领取条件时，对个人缴费与集体补助之和的30%给予补贴。本通知出台之后的失地居民缴费，按其对应缴费档次给予补贴。</w:t>
      </w:r>
    </w:p>
    <w:p>
      <w:pPr>
        <w:pStyle w:val="2"/>
        <w:spacing w:line="600" w:lineRule="exact"/>
        <w:ind w:firstLine="634"/>
        <w:rPr>
          <w:rFonts w:ascii="仿宋_GB2312"/>
          <w:szCs w:val="32"/>
        </w:rPr>
      </w:pPr>
      <w:r>
        <w:rPr>
          <w:rFonts w:hint="eastAsia" w:ascii="仿宋_GB2312"/>
          <w:szCs w:val="32"/>
        </w:rPr>
        <w:t>3.参保人员死亡的，个人账户资金余额可以依法继承。其中，失地居民未领取待遇死亡的，本通知出台之前的失地居民缴费部分，政府先按其个人缴费与集体补助之和的30%给予补贴，个人账户资金再依法继承。</w:t>
      </w:r>
    </w:p>
    <w:p>
      <w:pPr>
        <w:pStyle w:val="2"/>
        <w:spacing w:line="600" w:lineRule="exact"/>
        <w:ind w:firstLine="634"/>
        <w:rPr>
          <w:rFonts w:ascii="仿宋_GB2312"/>
          <w:szCs w:val="32"/>
        </w:rPr>
      </w:pPr>
      <w:r>
        <w:rPr>
          <w:rFonts w:hint="eastAsia" w:ascii="仿宋_GB2312"/>
          <w:szCs w:val="32"/>
        </w:rPr>
        <w:t>4.对</w:t>
      </w:r>
      <w:r>
        <w:rPr>
          <w:rFonts w:hint="eastAsia" w:ascii="仿宋_GB2312"/>
        </w:rPr>
        <w:t>本</w:t>
      </w:r>
      <w:r>
        <w:rPr>
          <w:rFonts w:hint="eastAsia" w:ascii="仿宋_GB2312"/>
          <w:szCs w:val="32"/>
        </w:rPr>
        <w:t>通知出台之前的失地居民缴费给予补贴时，个人缴费与集体补助之和含本息，最高不超过101897.70元。在当年居民养老保险个人账户记账利率公布前，不包含当年利息。</w:t>
      </w:r>
    </w:p>
    <w:p>
      <w:pPr>
        <w:pStyle w:val="2"/>
        <w:spacing w:line="600" w:lineRule="exact"/>
        <w:ind w:firstLine="634"/>
        <w:rPr>
          <w:rFonts w:ascii="黑体" w:hAnsi="黑体" w:eastAsia="黑体"/>
        </w:rPr>
      </w:pPr>
      <w:r>
        <w:rPr>
          <w:rFonts w:hint="eastAsia" w:ascii="黑体" w:hAnsi="黑体" w:eastAsia="黑体"/>
        </w:rPr>
        <w:t>四、关于丧葬补助金问题</w:t>
      </w:r>
    </w:p>
    <w:p>
      <w:pPr>
        <w:pStyle w:val="2"/>
        <w:spacing w:line="600" w:lineRule="exact"/>
        <w:ind w:firstLine="634"/>
        <w:rPr>
          <w:rFonts w:ascii="仿宋_GB2312"/>
          <w:szCs w:val="32"/>
        </w:rPr>
      </w:pPr>
      <w:r>
        <w:rPr>
          <w:rFonts w:hint="eastAsia" w:ascii="仿宋_GB2312"/>
          <w:szCs w:val="32"/>
        </w:rPr>
        <w:t>居民养老保险待遇领取人员死亡的，相关人员在办理注销登记后，一次性发给丧葬补助金1000元。</w:t>
      </w:r>
    </w:p>
    <w:p>
      <w:pPr>
        <w:pStyle w:val="2"/>
        <w:spacing w:line="600" w:lineRule="exact"/>
        <w:ind w:firstLine="634"/>
        <w:rPr>
          <w:rFonts w:ascii="仿宋_GB2312"/>
          <w:szCs w:val="32"/>
        </w:rPr>
      </w:pPr>
      <w:r>
        <w:rPr>
          <w:rFonts w:ascii="仿宋_GB2312"/>
          <w:szCs w:val="32"/>
        </w:rPr>
        <w:t>本</w:t>
      </w:r>
      <w:r>
        <w:rPr>
          <w:rFonts w:hint="eastAsia" w:ascii="仿宋_GB2312"/>
          <w:szCs w:val="32"/>
        </w:rPr>
        <w:t>通知</w:t>
      </w:r>
      <w:r>
        <w:rPr>
          <w:rFonts w:ascii="仿宋_GB2312"/>
          <w:szCs w:val="32"/>
        </w:rPr>
        <w:t>自</w:t>
      </w:r>
      <w:r>
        <w:rPr>
          <w:rFonts w:hint="eastAsia" w:ascii="仿宋_GB2312"/>
          <w:szCs w:val="32"/>
        </w:rPr>
        <w:t>2023年 *月*</w:t>
      </w:r>
      <w:r>
        <w:rPr>
          <w:rFonts w:ascii="仿宋_GB2312"/>
          <w:szCs w:val="32"/>
        </w:rPr>
        <w:t>日起</w:t>
      </w:r>
      <w:r>
        <w:rPr>
          <w:rFonts w:hint="eastAsia" w:ascii="仿宋_GB2312"/>
          <w:szCs w:val="32"/>
        </w:rPr>
        <w:t>执行，</w:t>
      </w:r>
      <w:r>
        <w:rPr>
          <w:rFonts w:ascii="仿宋_GB2312"/>
          <w:szCs w:val="32"/>
        </w:rPr>
        <w:t>有效期至</w:t>
      </w:r>
      <w:r>
        <w:rPr>
          <w:rFonts w:hint="eastAsia" w:ascii="仿宋_GB2312"/>
          <w:szCs w:val="32"/>
        </w:rPr>
        <w:t>2028年*月 *</w:t>
      </w:r>
      <w:r>
        <w:rPr>
          <w:rFonts w:ascii="仿宋_GB2312"/>
          <w:szCs w:val="32"/>
        </w:rPr>
        <w:t>日</w:t>
      </w:r>
      <w:r>
        <w:rPr>
          <w:rFonts w:hint="eastAsia" w:ascii="仿宋_GB2312"/>
          <w:szCs w:val="32"/>
        </w:rPr>
        <w:t>（执行起止时间待正式文件发布时公布）。已</w:t>
      </w:r>
      <w:r>
        <w:rPr>
          <w:rFonts w:ascii="仿宋_GB2312"/>
          <w:szCs w:val="32"/>
        </w:rPr>
        <w:t>有规定与本通知不一致的</w:t>
      </w:r>
      <w:r>
        <w:rPr>
          <w:rFonts w:hint="eastAsia" w:ascii="仿宋_GB2312"/>
          <w:szCs w:val="32"/>
        </w:rPr>
        <w:t>，</w:t>
      </w:r>
      <w:r>
        <w:rPr>
          <w:rFonts w:ascii="仿宋_GB2312"/>
          <w:szCs w:val="32"/>
        </w:rPr>
        <w:t>按本通知执行。上级出台新规定的</w:t>
      </w:r>
      <w:r>
        <w:rPr>
          <w:rFonts w:hint="eastAsia" w:ascii="仿宋_GB2312"/>
          <w:szCs w:val="32"/>
        </w:rPr>
        <w:t>，</w:t>
      </w:r>
      <w:r>
        <w:rPr>
          <w:rFonts w:ascii="仿宋_GB2312"/>
          <w:szCs w:val="32"/>
        </w:rPr>
        <w:t>从其规定</w:t>
      </w:r>
      <w:r>
        <w:rPr>
          <w:rFonts w:hint="eastAsia" w:ascii="仿宋_GB2312"/>
          <w:szCs w:val="32"/>
        </w:rPr>
        <w:t>。</w:t>
      </w:r>
    </w:p>
    <w:p>
      <w:pPr>
        <w:spacing w:line="600" w:lineRule="exact"/>
        <w:rPr>
          <w:rFonts w:ascii="仿宋_GB2312" w:hAnsi="Times New Roman" w:eastAsia="仿宋_GB2312" w:cs="Times New Roman"/>
          <w:sz w:val="32"/>
          <w:szCs w:val="32"/>
        </w:rPr>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4A"/>
    <w:rsid w:val="0004424A"/>
    <w:rsid w:val="00116F78"/>
    <w:rsid w:val="001E0E8F"/>
    <w:rsid w:val="002959E2"/>
    <w:rsid w:val="00295C22"/>
    <w:rsid w:val="002E5A7D"/>
    <w:rsid w:val="00342787"/>
    <w:rsid w:val="00390424"/>
    <w:rsid w:val="004E542C"/>
    <w:rsid w:val="004F12A6"/>
    <w:rsid w:val="005371C6"/>
    <w:rsid w:val="005D3B30"/>
    <w:rsid w:val="0064369E"/>
    <w:rsid w:val="006B499A"/>
    <w:rsid w:val="006E724A"/>
    <w:rsid w:val="00701C44"/>
    <w:rsid w:val="0072161F"/>
    <w:rsid w:val="00743941"/>
    <w:rsid w:val="007D2C08"/>
    <w:rsid w:val="008424C5"/>
    <w:rsid w:val="008F4B60"/>
    <w:rsid w:val="00960757"/>
    <w:rsid w:val="009818CA"/>
    <w:rsid w:val="00A5325F"/>
    <w:rsid w:val="00A83CEF"/>
    <w:rsid w:val="00AA6409"/>
    <w:rsid w:val="00B34A9F"/>
    <w:rsid w:val="00B52699"/>
    <w:rsid w:val="00B77EED"/>
    <w:rsid w:val="00C020DA"/>
    <w:rsid w:val="00C420DC"/>
    <w:rsid w:val="00C81175"/>
    <w:rsid w:val="00DB5D62"/>
    <w:rsid w:val="00E31D17"/>
    <w:rsid w:val="00E41692"/>
    <w:rsid w:val="00E80900"/>
    <w:rsid w:val="00EE46D2"/>
    <w:rsid w:val="00F1521F"/>
    <w:rsid w:val="00F30D50"/>
    <w:rsid w:val="00F60EA1"/>
    <w:rsid w:val="00F91DCD"/>
    <w:rsid w:val="00FB37B9"/>
    <w:rsid w:val="00FD131A"/>
    <w:rsid w:val="04E31C12"/>
    <w:rsid w:val="05DF5C75"/>
    <w:rsid w:val="08324462"/>
    <w:rsid w:val="09281EC7"/>
    <w:rsid w:val="09572E85"/>
    <w:rsid w:val="0C7E78ED"/>
    <w:rsid w:val="12F43651"/>
    <w:rsid w:val="15824139"/>
    <w:rsid w:val="1A042BA7"/>
    <w:rsid w:val="2044405B"/>
    <w:rsid w:val="221A21D2"/>
    <w:rsid w:val="22596280"/>
    <w:rsid w:val="29FC6366"/>
    <w:rsid w:val="2BA84C36"/>
    <w:rsid w:val="2D5406F5"/>
    <w:rsid w:val="326463FE"/>
    <w:rsid w:val="372073B4"/>
    <w:rsid w:val="3EE8542C"/>
    <w:rsid w:val="42FC2A2E"/>
    <w:rsid w:val="431134AE"/>
    <w:rsid w:val="43AD43CD"/>
    <w:rsid w:val="46C15904"/>
    <w:rsid w:val="47011005"/>
    <w:rsid w:val="48D653D9"/>
    <w:rsid w:val="4C2D28EB"/>
    <w:rsid w:val="53646FD7"/>
    <w:rsid w:val="56B569B8"/>
    <w:rsid w:val="57111223"/>
    <w:rsid w:val="5A6D6678"/>
    <w:rsid w:val="67115BD4"/>
    <w:rsid w:val="6EBE7BF8"/>
    <w:rsid w:val="77FD4BD5"/>
    <w:rsid w:val="79561B89"/>
    <w:rsid w:val="79D7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9"/>
    <w:uiPriority w:val="0"/>
    <w:pPr>
      <w:ind w:firstLine="640"/>
    </w:pPr>
    <w:rPr>
      <w:rFonts w:ascii="Times New Roman" w:hAnsi="Times New Roman" w:eastAsia="仿宋_GB2312" w:cs="Times New Roman"/>
      <w:sz w:val="32"/>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正文文本缩进 Char"/>
    <w:basedOn w:val="7"/>
    <w:link w:val="2"/>
    <w:uiPriority w:val="0"/>
    <w:rPr>
      <w:rFonts w:ascii="Times New Roman" w:hAnsi="Times New Roman" w:eastAsia="仿宋_GB2312" w:cs="Times New Roman"/>
      <w:sz w:val="32"/>
      <w:szCs w:val="20"/>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442</Words>
  <Characters>2522</Characters>
  <Lines>21</Lines>
  <Paragraphs>5</Paragraphs>
  <TotalTime>4</TotalTime>
  <ScaleCrop>false</ScaleCrop>
  <LinksUpToDate>false</LinksUpToDate>
  <CharactersWithSpaces>2959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2022-12-08T03:06:00Z</dcterms:created>
  <dc:creator>宫晨翔</dc:creator>
  <cp:lastModifiedBy>Administrator</cp:lastModifiedBy>
  <cp:lastPrinted>2023-05-18T10:23:00Z</cp:lastPrinted>
  <dcterms:modified xsi:type="dcterms:W3CDTF">2023-05-19T07:30:28Z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