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000000" w:themeColor="text1"/>
          <w14:textFill>
            <w14:solidFill>
              <w14:schemeClr w14:val="tx1"/>
            </w14:solidFill>
          </w14:textFill>
        </w:rPr>
      </w:pPr>
    </w:p>
    <w:p>
      <w:pPr>
        <w:spacing w:line="360" w:lineRule="auto"/>
        <w:jc w:val="center"/>
        <w:rPr>
          <w:rFonts w:ascii="黑体" w:hAnsi="黑体" w:eastAsia="黑体" w:cs="黑体"/>
          <w:color w:val="000000" w:themeColor="text1"/>
          <w:sz w:val="44"/>
          <w:szCs w:val="44"/>
          <w14:textFill>
            <w14:solidFill>
              <w14:schemeClr w14:val="tx1"/>
            </w14:solidFill>
          </w14:textFill>
        </w:rPr>
      </w:pPr>
      <w:r>
        <w:rPr>
          <w:rFonts w:hint="eastAsia" w:ascii="黑体" w:hAnsi="黑体" w:eastAsia="黑体" w:cs="黑体"/>
          <w:color w:val="000000" w:themeColor="text1"/>
          <w:sz w:val="44"/>
          <w:szCs w:val="44"/>
          <w14:textFill>
            <w14:solidFill>
              <w14:schemeClr w14:val="tx1"/>
            </w14:solidFill>
          </w14:textFill>
        </w:rPr>
        <w:t>莱山区“十四五”卫生与健康规划</w:t>
      </w:r>
    </w:p>
    <w:p>
      <w:pPr>
        <w:spacing w:beforeLines="50" w:line="360" w:lineRule="auto"/>
        <w:jc w:val="center"/>
        <w:rPr>
          <w:color w:val="000000" w:themeColor="text1"/>
          <w:sz w:val="32"/>
          <w:szCs w:val="32"/>
          <w14:textFill>
            <w14:solidFill>
              <w14:schemeClr w14:val="tx1"/>
            </w14:solidFill>
          </w14:textFill>
        </w:rPr>
      </w:pPr>
      <w:r>
        <w:rPr>
          <w:rFonts w:hint="eastAsia"/>
          <w:color w:val="000000" w:themeColor="text1"/>
          <w:sz w:val="32"/>
          <w:szCs w:val="32"/>
          <w14:textFill>
            <w14:solidFill>
              <w14:schemeClr w14:val="tx1"/>
            </w14:solidFill>
          </w14:textFill>
        </w:rPr>
        <w:t>（征求意见稿）</w:t>
      </w:r>
    </w:p>
    <w:p>
      <w:pPr>
        <w:spacing w:line="360" w:lineRule="auto"/>
        <w:ind w:firstLine="480" w:firstLineChars="200"/>
        <w:rPr>
          <w:rFonts w:cs="宋体"/>
          <w:color w:val="000000" w:themeColor="text1"/>
          <w:sz w:val="24"/>
          <w14:textFill>
            <w14:solidFill>
              <w14:schemeClr w14:val="tx1"/>
            </w14:solidFill>
          </w14:textFill>
        </w:rPr>
      </w:pPr>
      <w:r>
        <w:rPr>
          <w:rFonts w:hint="eastAsia" w:asciiTheme="minorEastAsia" w:hAnsiTheme="minorEastAsia" w:cstheme="minorEastAsia"/>
          <w:bCs/>
          <w:color w:val="000000" w:themeColor="text1"/>
          <w:sz w:val="24"/>
          <w14:textFill>
            <w14:solidFill>
              <w14:schemeClr w14:val="tx1"/>
            </w14:solidFill>
          </w14:textFill>
        </w:rPr>
        <w:t xml:space="preserve"> “十四五”时期</w:t>
      </w:r>
      <w:r>
        <w:rPr>
          <w:rFonts w:cs="宋体"/>
          <w:bCs/>
          <w:color w:val="000000" w:themeColor="text1"/>
          <w:sz w:val="24"/>
          <w14:textFill>
            <w14:solidFill>
              <w14:schemeClr w14:val="tx1"/>
            </w14:solidFill>
          </w14:textFill>
        </w:rPr>
        <w:t>，是全面深化卫生健康事业改革的关键时期，也是优化我区卫生健康事业体系，促进卫生健康事业全面、协调、可持续发展的重要时期。为持续推进健康莱山建设，提高全民健康水平，</w:t>
      </w:r>
      <w:r>
        <w:rPr>
          <w:rFonts w:cs="宋体"/>
          <w:color w:val="000000" w:themeColor="text1"/>
          <w:sz w:val="24"/>
          <w14:textFill>
            <w14:solidFill>
              <w14:schemeClr w14:val="tx1"/>
            </w14:solidFill>
          </w14:textFill>
        </w:rPr>
        <w:t>结合我区工作实际，编制本规划。</w:t>
      </w:r>
    </w:p>
    <w:p>
      <w:pPr>
        <w:spacing w:line="360" w:lineRule="auto"/>
        <w:ind w:firstLine="482" w:firstLineChars="200"/>
        <w:outlineLvl w:val="0"/>
        <w:rPr>
          <w:rFonts w:cs="宋体"/>
          <w:b/>
          <w:bCs/>
          <w:color w:val="000000" w:themeColor="text1"/>
          <w:sz w:val="24"/>
          <w14:textFill>
            <w14:solidFill>
              <w14:schemeClr w14:val="tx1"/>
            </w14:solidFill>
          </w14:textFill>
        </w:rPr>
      </w:pPr>
      <w:bookmarkStart w:id="0" w:name="_Toc20136"/>
      <w:r>
        <w:rPr>
          <w:rFonts w:hint="eastAsia" w:cs="宋体"/>
          <w:b/>
          <w:bCs/>
          <w:color w:val="000000" w:themeColor="text1"/>
          <w:sz w:val="24"/>
          <w14:textFill>
            <w14:solidFill>
              <w14:schemeClr w14:val="tx1"/>
            </w14:solidFill>
          </w14:textFill>
        </w:rPr>
        <w:t>一、规划背景</w:t>
      </w:r>
      <w:bookmarkEnd w:id="0"/>
    </w:p>
    <w:p>
      <w:pPr>
        <w:spacing w:line="360" w:lineRule="auto"/>
        <w:ind w:firstLine="480" w:firstLineChars="200"/>
        <w:rPr>
          <w:rFonts w:cs="宋体"/>
          <w:color w:val="000000" w:themeColor="text1"/>
          <w:sz w:val="24"/>
          <w14:textFill>
            <w14:solidFill>
              <w14:schemeClr w14:val="tx1"/>
            </w14:solidFill>
          </w14:textFill>
        </w:rPr>
      </w:pPr>
      <w:r>
        <w:rPr>
          <w:rFonts w:hint="eastAsia" w:asciiTheme="minorEastAsia" w:hAnsiTheme="minorEastAsia" w:cstheme="minorEastAsia"/>
          <w:bCs/>
          <w:color w:val="000000" w:themeColor="text1"/>
          <w:sz w:val="24"/>
          <w14:textFill>
            <w14:solidFill>
              <w14:schemeClr w14:val="tx1"/>
            </w14:solidFill>
          </w14:textFill>
        </w:rPr>
        <w:t>“十三五”以</w:t>
      </w:r>
      <w:r>
        <w:rPr>
          <w:rFonts w:cs="宋体"/>
          <w:bCs/>
          <w:color w:val="000000" w:themeColor="text1"/>
          <w:sz w:val="24"/>
          <w14:textFill>
            <w14:solidFill>
              <w14:schemeClr w14:val="tx1"/>
            </w14:solidFill>
          </w14:textFill>
        </w:rPr>
        <w:t>来，我区坚持把人民健康放在优先发展的战略位置，以维护和增进人民群众健康为宗旨，贯彻新时代卫生与健康工作方针，持续深化医药卫生体制改革，逐步形成以健康为中心的卫生</w:t>
      </w:r>
      <w:r>
        <w:rPr>
          <w:rFonts w:hint="eastAsia" w:cs="宋体"/>
          <w:bCs/>
          <w:color w:val="000000" w:themeColor="text1"/>
          <w:sz w:val="24"/>
          <w14:textFill>
            <w14:solidFill>
              <w14:schemeClr w14:val="tx1"/>
            </w14:solidFill>
          </w14:textFill>
        </w:rPr>
        <w:t>健康</w:t>
      </w:r>
      <w:r>
        <w:rPr>
          <w:rFonts w:cs="宋体"/>
          <w:bCs/>
          <w:color w:val="000000" w:themeColor="text1"/>
          <w:sz w:val="24"/>
          <w14:textFill>
            <w14:solidFill>
              <w14:schemeClr w14:val="tx1"/>
            </w14:solidFill>
          </w14:textFill>
        </w:rPr>
        <w:t>服务体系，</w:t>
      </w:r>
      <w:r>
        <w:rPr>
          <w:rFonts w:cs="宋体"/>
          <w:color w:val="000000" w:themeColor="text1"/>
          <w:sz w:val="24"/>
          <w14:textFill>
            <w14:solidFill>
              <w14:schemeClr w14:val="tx1"/>
            </w14:solidFill>
          </w14:textFill>
        </w:rPr>
        <w:t>卫生与健康事业取得长足发展，人民群众健康水平持续提高，</w:t>
      </w:r>
      <w:r>
        <w:rPr>
          <w:rFonts w:cs="宋体"/>
          <w:bCs/>
          <w:color w:val="000000" w:themeColor="text1"/>
          <w:sz w:val="24"/>
          <w14:textFill>
            <w14:solidFill>
              <w14:schemeClr w14:val="tx1"/>
            </w14:solidFill>
          </w14:textFill>
        </w:rPr>
        <w:t>为</w:t>
      </w:r>
      <w:r>
        <w:rPr>
          <w:rFonts w:hint="eastAsia" w:asciiTheme="minorEastAsia" w:hAnsiTheme="minorEastAsia" w:cstheme="minorEastAsia"/>
          <w:bCs/>
          <w:color w:val="000000" w:themeColor="text1"/>
          <w:sz w:val="24"/>
          <w14:textFill>
            <w14:solidFill>
              <w14:schemeClr w14:val="tx1"/>
            </w14:solidFill>
          </w14:textFill>
        </w:rPr>
        <w:t>“</w:t>
      </w:r>
      <w:r>
        <w:rPr>
          <w:rFonts w:cs="宋体"/>
          <w:bCs/>
          <w:color w:val="000000" w:themeColor="text1"/>
          <w:sz w:val="24"/>
          <w14:textFill>
            <w14:solidFill>
              <w14:schemeClr w14:val="tx1"/>
            </w14:solidFill>
          </w14:textFill>
        </w:rPr>
        <w:t>十四五</w:t>
      </w:r>
      <w:r>
        <w:rPr>
          <w:rFonts w:hint="eastAsia" w:asciiTheme="minorEastAsia" w:hAnsiTheme="minorEastAsia" w:cstheme="minorEastAsia"/>
          <w:bCs/>
          <w:color w:val="000000" w:themeColor="text1"/>
          <w:sz w:val="24"/>
          <w14:textFill>
            <w14:solidFill>
              <w14:schemeClr w14:val="tx1"/>
            </w14:solidFill>
          </w14:textFill>
        </w:rPr>
        <w:t>”</w:t>
      </w:r>
      <w:r>
        <w:rPr>
          <w:rFonts w:cs="宋体"/>
          <w:bCs/>
          <w:color w:val="000000" w:themeColor="text1"/>
          <w:sz w:val="24"/>
          <w14:textFill>
            <w14:solidFill>
              <w14:schemeClr w14:val="tx1"/>
            </w14:solidFill>
          </w14:textFill>
        </w:rPr>
        <w:t>时期</w:t>
      </w:r>
      <w:r>
        <w:rPr>
          <w:rFonts w:hint="eastAsia" w:cs="宋体"/>
          <w:bCs/>
          <w:color w:val="000000" w:themeColor="text1"/>
          <w:sz w:val="24"/>
          <w14:textFill>
            <w14:solidFill>
              <w14:schemeClr w14:val="tx1"/>
            </w14:solidFill>
          </w14:textFill>
        </w:rPr>
        <w:t>持续推进健康莱山、典范莱山建设</w:t>
      </w:r>
      <w:r>
        <w:rPr>
          <w:rFonts w:cs="宋体"/>
          <w:bCs/>
          <w:color w:val="000000" w:themeColor="text1"/>
          <w:sz w:val="24"/>
          <w14:textFill>
            <w14:solidFill>
              <w14:schemeClr w14:val="tx1"/>
            </w14:solidFill>
          </w14:textFill>
        </w:rPr>
        <w:t>奠定了坚实基础</w:t>
      </w:r>
      <w:r>
        <w:rPr>
          <w:rFonts w:hint="eastAsia" w:cs="宋体"/>
          <w:bCs/>
          <w:color w:val="000000" w:themeColor="text1"/>
          <w:sz w:val="24"/>
          <w14:textFill>
            <w14:solidFill>
              <w14:schemeClr w14:val="tx1"/>
            </w14:solidFill>
          </w14:textFill>
        </w:rPr>
        <w:t>。</w:t>
      </w:r>
    </w:p>
    <w:p>
      <w:pPr>
        <w:spacing w:line="360" w:lineRule="auto"/>
        <w:ind w:firstLine="480" w:firstLineChars="200"/>
        <w:outlineLvl w:val="1"/>
        <w:rPr>
          <w:rFonts w:cs="宋体"/>
          <w:color w:val="000000" w:themeColor="text1"/>
          <w:sz w:val="24"/>
          <w14:textFill>
            <w14:solidFill>
              <w14:schemeClr w14:val="tx1"/>
            </w14:solidFill>
          </w14:textFill>
        </w:rPr>
      </w:pPr>
      <w:bookmarkStart w:id="1" w:name="_Toc21379"/>
      <w:r>
        <w:rPr>
          <w:rFonts w:hint="eastAsia" w:ascii="黑体" w:hAnsi="黑体" w:eastAsia="黑体" w:cs="黑体"/>
          <w:color w:val="000000" w:themeColor="text1"/>
          <w:sz w:val="24"/>
          <w14:textFill>
            <w14:solidFill>
              <w14:schemeClr w14:val="tx1"/>
            </w14:solidFill>
          </w14:textFill>
        </w:rPr>
        <w:t>（一）“十三五”时期取得的成绩</w:t>
      </w:r>
      <w:bookmarkEnd w:id="1"/>
    </w:p>
    <w:p>
      <w:pPr>
        <w:spacing w:line="360" w:lineRule="auto"/>
        <w:ind w:firstLine="480" w:firstLineChars="200"/>
        <w:rPr>
          <w:rFonts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bCs/>
          <w:color w:val="000000" w:themeColor="text1"/>
          <w:sz w:val="24"/>
          <w14:textFill>
            <w14:solidFill>
              <w14:schemeClr w14:val="tx1"/>
            </w14:solidFill>
          </w14:textFill>
        </w:rPr>
        <w:t>莱山区居民的健康素质持续改善，2020年</w:t>
      </w:r>
      <w:r>
        <w:rPr>
          <w:rFonts w:hint="eastAsia" w:asciiTheme="minorEastAsia" w:hAnsiTheme="minorEastAsia" w:cstheme="minorEastAsia"/>
          <w:color w:val="000000" w:themeColor="text1"/>
          <w:sz w:val="24"/>
          <w14:textFill>
            <w14:solidFill>
              <w14:schemeClr w14:val="tx1"/>
            </w14:solidFill>
          </w14:textFill>
        </w:rPr>
        <w:t>人均预期寿命达到81.26岁，无孕产妇死亡，婴儿死亡率和5岁以下儿童死亡率分别降至</w:t>
      </w:r>
      <w:r>
        <w:rPr>
          <w:rFonts w:asciiTheme="minorEastAsia" w:hAnsiTheme="minorEastAsia" w:cstheme="minorEastAsia"/>
          <w:color w:val="000000" w:themeColor="text1"/>
          <w:sz w:val="24"/>
          <w14:textFill>
            <w14:solidFill>
              <w14:schemeClr w14:val="tx1"/>
            </w14:solidFill>
          </w14:textFill>
        </w:rPr>
        <w:t>2.4</w:t>
      </w:r>
      <w:r>
        <w:rPr>
          <w:rFonts w:hint="eastAsia" w:asciiTheme="minorEastAsia" w:hAnsiTheme="minorEastAsia" w:cstheme="minorEastAsia"/>
          <w:color w:val="000000" w:themeColor="text1"/>
          <w:sz w:val="24"/>
          <w14:textFill>
            <w14:solidFill>
              <w14:schemeClr w14:val="tx1"/>
            </w14:solidFill>
          </w14:textFill>
        </w:rPr>
        <w:t>8‰和</w:t>
      </w:r>
      <w:r>
        <w:rPr>
          <w:rFonts w:asciiTheme="minorEastAsia" w:hAnsiTheme="minorEastAsia" w:cstheme="minorEastAsia"/>
          <w:color w:val="000000" w:themeColor="text1"/>
          <w:sz w:val="24"/>
          <w14:textFill>
            <w14:solidFill>
              <w14:schemeClr w14:val="tx1"/>
            </w14:solidFill>
          </w14:textFill>
        </w:rPr>
        <w:t>3.</w:t>
      </w:r>
      <w:r>
        <w:rPr>
          <w:rFonts w:hint="eastAsia" w:asciiTheme="minorEastAsia" w:hAnsiTheme="minorEastAsia" w:cstheme="minorEastAsia"/>
          <w:color w:val="000000" w:themeColor="text1"/>
          <w:sz w:val="24"/>
          <w14:textFill>
            <w14:solidFill>
              <w14:schemeClr w14:val="tx1"/>
            </w14:solidFill>
          </w14:textFill>
        </w:rPr>
        <w:t>71‰，人均预期寿命、孕产妇死亡率等健康指标位居全市前列。</w:t>
      </w:r>
    </w:p>
    <w:p>
      <w:pPr>
        <w:spacing w:line="360" w:lineRule="auto"/>
        <w:ind w:firstLine="480" w:firstLineChars="200"/>
        <w:rPr>
          <w:rFonts w:ascii="宋体" w:hAnsi="宋体" w:eastAsia="宋体" w:cs="宋体"/>
          <w:color w:val="000000" w:themeColor="text1"/>
          <w:sz w:val="24"/>
          <w14:textFill>
            <w14:solidFill>
              <w14:schemeClr w14:val="tx1"/>
            </w14:solidFill>
          </w14:textFill>
        </w:rPr>
      </w:pPr>
      <w:bookmarkStart w:id="2" w:name="_Toc1866"/>
      <w:r>
        <w:rPr>
          <w:rFonts w:hint="eastAsia" w:ascii="黑体" w:hAnsi="黑体" w:eastAsia="黑体" w:cs="黑体"/>
          <w:color w:val="000000" w:themeColor="text1"/>
          <w:sz w:val="24"/>
          <w14:textFill>
            <w14:solidFill>
              <w14:schemeClr w14:val="tx1"/>
            </w14:solidFill>
          </w14:textFill>
        </w:rPr>
        <w:t>1.着力丰富医疗卫生资源，医疗卫生网络逐步健全。</w:t>
      </w:r>
      <w:r>
        <w:rPr>
          <w:rFonts w:hint="eastAsia" w:ascii="宋体" w:hAnsi="宋体" w:eastAsia="宋体" w:cs="宋体"/>
          <w:color w:val="000000" w:themeColor="text1"/>
          <w:sz w:val="24"/>
          <w14:textFill>
            <w14:solidFill>
              <w14:schemeClr w14:val="tx1"/>
            </w14:solidFill>
          </w14:textFill>
        </w:rPr>
        <w:t>区卫健局以重点项目为抓手，着力引进、构建“全方位、多层面”的医疗服务资源，有效缓解群众看病难、看病贵的问题。2019年山东文登整骨烟台医院正式投入使用，2020年烟台山医院东院全面启用，毓璜顶医院莱山分院主体部分和整体装修基本完成， 2022年上半年将投入使用，我区快步跨入医疗领先区行列。积极提升基层服务能力，推进基层医疗机构标准化建设，打造建成2个省级、12个市级示范标准卫生室。</w:t>
      </w:r>
    </w:p>
    <w:p>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黑体" w:hAnsi="黑体" w:eastAsia="黑体" w:cs="黑体"/>
          <w:color w:val="000000" w:themeColor="text1"/>
          <w:sz w:val="24"/>
          <w14:textFill>
            <w14:solidFill>
              <w14:schemeClr w14:val="tx1"/>
            </w14:solidFill>
          </w14:textFill>
        </w:rPr>
        <w:t>2.居民的健康水平和健康服务满意度持续提升。</w:t>
      </w:r>
      <w:r>
        <w:rPr>
          <w:rFonts w:hint="eastAsia" w:ascii="宋体" w:hAnsi="宋体" w:eastAsia="宋体" w:cs="宋体"/>
          <w:color w:val="000000" w:themeColor="text1"/>
          <w:sz w:val="24"/>
          <w14:textFill>
            <w14:solidFill>
              <w14:schemeClr w14:val="tx1"/>
            </w14:solidFill>
          </w14:textFill>
        </w:rPr>
        <w:t>十三五期间，始终以群众满意为最高目标，不断提高健康服务质量和健康保障水平，持续提升人民群众的健康水平。秉承“健康公平、为民服务”的原则，坚持为居民提供更便捷、更优质的医疗服务，不断提升居民健康幸福指数，各项民生工程的实施均获得群众的高度评价。</w:t>
      </w:r>
    </w:p>
    <w:p>
      <w:pPr>
        <w:spacing w:line="360" w:lineRule="auto"/>
        <w:ind w:firstLine="480" w:firstLineChars="200"/>
        <w:rPr>
          <w:rFonts w:ascii="宋体" w:hAnsi="宋体" w:eastAsia="宋体" w:cs="宋体"/>
          <w:color w:val="000000" w:themeColor="text1"/>
          <w:spacing w:val="8"/>
          <w:sz w:val="24"/>
          <w14:textFill>
            <w14:solidFill>
              <w14:schemeClr w14:val="tx1"/>
            </w14:solidFill>
          </w14:textFill>
        </w:rPr>
      </w:pPr>
      <w:r>
        <w:rPr>
          <w:rFonts w:hint="eastAsia" w:ascii="黑体" w:hAnsi="黑体" w:eastAsia="黑体" w:cs="黑体"/>
          <w:color w:val="000000" w:themeColor="text1"/>
          <w:sz w:val="24"/>
          <w14:textFill>
            <w14:solidFill>
              <w14:schemeClr w14:val="tx1"/>
            </w14:solidFill>
          </w14:textFill>
        </w:rPr>
        <w:t>3.多渠道提升专业技术人才队伍能力。</w:t>
      </w:r>
      <w:r>
        <w:rPr>
          <w:rFonts w:hint="eastAsia" w:ascii="宋体" w:hAnsi="宋体" w:eastAsia="宋体" w:cs="宋体"/>
          <w:color w:val="000000" w:themeColor="text1"/>
          <w:sz w:val="24"/>
          <w14:textFill>
            <w14:solidFill>
              <w14:schemeClr w14:val="tx1"/>
            </w14:solidFill>
          </w14:textFill>
        </w:rPr>
        <w:t>十三五期间，积极开展城乡对口支援，协调烟台山医院、滨州医学院烟台附属医院、烟台毓璜顶医院莱山分院对口支援我区各个街道社区卫生服务中心，充分发挥三甲医院人才、技术优势，实现优质医疗资源有序有效下沉，在对口帮扶中带动我区医疗卫生人才队伍能力提升。成立包括消毒供应和临床检验等5个质控中心，依托质控中心开展多种专业、多种形式的技能培训，对医疗机构重点科室、重点岗位进行督查指导。</w:t>
      </w:r>
    </w:p>
    <w:p>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黑体" w:hAnsi="黑体" w:eastAsia="黑体" w:cs="黑体"/>
          <w:color w:val="000000" w:themeColor="text1"/>
          <w:sz w:val="24"/>
          <w14:textFill>
            <w14:solidFill>
              <w14:schemeClr w14:val="tx1"/>
            </w14:solidFill>
          </w14:textFill>
        </w:rPr>
        <w:t>4.扎实推进重大传染病防控工作。</w:t>
      </w:r>
      <w:r>
        <w:rPr>
          <w:rFonts w:hint="eastAsia" w:ascii="宋体" w:hAnsi="宋体" w:eastAsia="宋体" w:cs="宋体"/>
          <w:color w:val="000000" w:themeColor="text1"/>
          <w:sz w:val="24"/>
          <w14:textFill>
            <w14:solidFill>
              <w14:schemeClr w14:val="tx1"/>
            </w14:solidFill>
          </w14:textFill>
        </w:rPr>
        <w:t>全面提升硬件设施水平，投资1000余万元建成标准化区级疾控实验室，实验室AB类设备配置率达100%。建成PCR、HIV、结核、微生物检测等生物安全二级实验室，持续提升新冠病毒、流感病毒、肠道病毒和艾滋病病毒等常见病原体的核酸检测和抗体检测能力，可以开展生活饮用水、公共场所卫生、职业危害因素以及食源性疾病致病因子等多项检测工作。强化疫情监测，严格落实防控措施，持续做好重点传染病防治工作，特别是在结核病防治和地方病防治方面成绩显著。</w:t>
      </w:r>
    </w:p>
    <w:p>
      <w:pPr>
        <w:spacing w:line="360" w:lineRule="auto"/>
        <w:ind w:firstLine="480" w:firstLineChars="200"/>
        <w:rPr>
          <w:rFonts w:ascii="宋体" w:hAnsi="宋体" w:eastAsia="宋体" w:cs="宋体"/>
          <w:color w:val="000000" w:themeColor="text1"/>
          <w:kern w:val="0"/>
          <w:sz w:val="24"/>
          <w14:textFill>
            <w14:solidFill>
              <w14:schemeClr w14:val="tx1"/>
            </w14:solidFill>
          </w14:textFill>
        </w:rPr>
      </w:pPr>
      <w:r>
        <w:rPr>
          <w:rFonts w:hint="eastAsia" w:ascii="黑体" w:hAnsi="黑体" w:eastAsia="黑体" w:cs="黑体"/>
          <w:color w:val="000000" w:themeColor="text1"/>
          <w:sz w:val="24"/>
          <w14:textFill>
            <w14:solidFill>
              <w14:schemeClr w14:val="tx1"/>
            </w14:solidFill>
          </w14:textFill>
        </w:rPr>
        <w:t>5.积极推进实施全面两孩政策和计生服务管理改革。</w:t>
      </w:r>
      <w:r>
        <w:rPr>
          <w:rFonts w:hint="eastAsia" w:ascii="宋体" w:hAnsi="宋体" w:eastAsia="宋体" w:cs="宋体"/>
          <w:color w:val="000000" w:themeColor="text1"/>
          <w:sz w:val="24"/>
          <w14:textFill>
            <w14:solidFill>
              <w14:schemeClr w14:val="tx1"/>
            </w14:solidFill>
          </w14:textFill>
        </w:rPr>
        <w:t>十三五期间，</w:t>
      </w:r>
      <w:r>
        <w:rPr>
          <w:rFonts w:hint="eastAsia" w:ascii="宋体" w:hAnsi="宋体" w:eastAsia="宋体" w:cs="宋体"/>
          <w:color w:val="000000" w:themeColor="text1"/>
          <w:kern w:val="0"/>
          <w:sz w:val="24"/>
          <w14:textFill>
            <w14:solidFill>
              <w14:schemeClr w14:val="tx1"/>
            </w14:solidFill>
          </w14:textFill>
        </w:rPr>
        <w:t>稳妥落实全面两孩政策，促进人口均衡发展，</w:t>
      </w:r>
      <w:r>
        <w:rPr>
          <w:rFonts w:hint="eastAsia" w:ascii="宋体" w:hAnsi="宋体" w:eastAsia="宋体" w:cs="宋体"/>
          <w:color w:val="000000" w:themeColor="text1"/>
          <w:sz w:val="24"/>
          <w14:textFill>
            <w14:solidFill>
              <w14:schemeClr w14:val="tx1"/>
            </w14:solidFill>
          </w14:textFill>
        </w:rPr>
        <w:t>出生人口性别比109.85</w:t>
      </w:r>
      <w:r>
        <w:rPr>
          <w:rFonts w:hint="eastAsia" w:ascii="宋体" w:hAnsi="宋体" w:eastAsia="宋体" w:cs="宋体"/>
          <w:color w:val="000000" w:themeColor="text1"/>
          <w:kern w:val="0"/>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改革生育服务登记方式，实行“能办推定”、“容缺受理”工作法,</w:t>
      </w:r>
      <w:r>
        <w:rPr>
          <w:rStyle w:val="12"/>
          <w:rFonts w:hint="eastAsia" w:cs="宋体"/>
          <w:color w:val="000000" w:themeColor="text1"/>
          <w:sz w:val="24"/>
          <w:szCs w:val="24"/>
          <w14:textFill>
            <w14:solidFill>
              <w14:schemeClr w14:val="tx1"/>
            </w14:solidFill>
          </w14:textFill>
        </w:rPr>
        <w:t>生育登记</w:t>
      </w:r>
      <w:r>
        <w:rPr>
          <w:rFonts w:hint="eastAsia" w:ascii="宋体" w:hAnsi="宋体" w:eastAsia="宋体" w:cs="宋体"/>
          <w:color w:val="000000" w:themeColor="text1"/>
          <w:sz w:val="24"/>
          <w14:textFill>
            <w14:solidFill>
              <w14:schemeClr w14:val="tx1"/>
            </w14:solidFill>
          </w14:textFill>
        </w:rPr>
        <w:t>覆盖</w:t>
      </w:r>
      <w:r>
        <w:rPr>
          <w:rStyle w:val="12"/>
          <w:rFonts w:hint="eastAsia" w:cs="宋体"/>
          <w:color w:val="000000" w:themeColor="text1"/>
          <w:sz w:val="24"/>
          <w:szCs w:val="24"/>
          <w14:textFill>
            <w14:solidFill>
              <w14:schemeClr w14:val="tx1"/>
            </w14:solidFill>
          </w14:textFill>
        </w:rPr>
        <w:t>率达到97%以上，再生育审批办结及时率达100%，</w:t>
      </w:r>
      <w:r>
        <w:rPr>
          <w:rFonts w:hint="eastAsia" w:ascii="宋体" w:hAnsi="宋体" w:eastAsia="宋体" w:cs="宋体"/>
          <w:color w:val="000000" w:themeColor="text1"/>
          <w:sz w:val="24"/>
          <w14:textFill>
            <w14:solidFill>
              <w14:schemeClr w14:val="tx1"/>
            </w14:solidFill>
          </w14:textFill>
        </w:rPr>
        <w:t>位居全市前列。强化精准服务关怀，家庭发展政策落实到位。</w:t>
      </w:r>
    </w:p>
    <w:p>
      <w:pPr>
        <w:spacing w:line="360" w:lineRule="auto"/>
        <w:ind w:firstLine="480" w:firstLineChars="200"/>
        <w:rPr>
          <w:rFonts w:ascii="宋体" w:hAnsi="宋体" w:eastAsia="宋体" w:cs="宋体"/>
          <w:b/>
          <w:i/>
          <w:color w:val="000000" w:themeColor="text1"/>
          <w:sz w:val="24"/>
          <w14:textFill>
            <w14:solidFill>
              <w14:schemeClr w14:val="tx1"/>
            </w14:solidFill>
          </w14:textFill>
        </w:rPr>
      </w:pPr>
      <w:r>
        <w:rPr>
          <w:rFonts w:hint="eastAsia" w:ascii="黑体" w:hAnsi="黑体" w:eastAsia="黑体" w:cs="黑体"/>
          <w:color w:val="000000" w:themeColor="text1"/>
          <w:sz w:val="24"/>
          <w14:textFill>
            <w14:solidFill>
              <w14:schemeClr w14:val="tx1"/>
            </w14:solidFill>
          </w14:textFill>
        </w:rPr>
        <w:t>6.健全完善老年健康服务体系。</w:t>
      </w:r>
      <w:r>
        <w:rPr>
          <w:rFonts w:hint="eastAsia" w:ascii="宋体" w:hAnsi="宋体" w:eastAsia="宋体" w:cs="宋体"/>
          <w:color w:val="000000" w:themeColor="text1"/>
          <w:sz w:val="24"/>
          <w14:textFill>
            <w14:solidFill>
              <w14:schemeClr w14:val="tx1"/>
            </w14:solidFill>
          </w14:textFill>
        </w:rPr>
        <w:t>精准落实惠老政策，深入推动银龄安康工程，让老年人共享经济社会发展成果。</w:t>
      </w:r>
      <w:r>
        <w:rPr>
          <w:rStyle w:val="11"/>
          <w:rFonts w:hint="eastAsia" w:ascii="宋体" w:hAnsi="宋体" w:eastAsia="宋体" w:cs="宋体"/>
          <w:color w:val="000000" w:themeColor="text1"/>
          <w:sz w:val="24"/>
          <w14:textFill>
            <w14:solidFill>
              <w14:schemeClr w14:val="tx1"/>
            </w14:solidFill>
          </w14:textFill>
        </w:rPr>
        <w:t>大力推动基层老年协会示范点建设</w:t>
      </w:r>
      <w:r>
        <w:rPr>
          <w:rFonts w:hint="eastAsia" w:ascii="宋体" w:hAnsi="宋体" w:eastAsia="宋体" w:cs="宋体"/>
          <w:color w:val="000000" w:themeColor="text1"/>
          <w:sz w:val="24"/>
          <w14:textFill>
            <w14:solidFill>
              <w14:schemeClr w14:val="tx1"/>
            </w14:solidFill>
          </w14:textFill>
        </w:rPr>
        <w:t>，10个村居被评为市基层老年协会建设示范单位。</w:t>
      </w:r>
      <w:r>
        <w:rPr>
          <w:bCs/>
          <w:iCs/>
          <w:color w:val="000000" w:themeColor="text1"/>
          <w:sz w:val="24"/>
          <w14:textFill>
            <w14:solidFill>
              <w14:schemeClr w14:val="tx1"/>
            </w14:solidFill>
          </w14:textFill>
        </w:rPr>
        <w:t>加强老年便民医疗服务，为老年人创造良好的就医环境。</w:t>
      </w:r>
      <w:r>
        <w:rPr>
          <w:rFonts w:hint="eastAsia" w:ascii="宋体" w:hAnsi="宋体" w:eastAsia="宋体" w:cs="宋体"/>
          <w:bCs/>
          <w:iCs/>
          <w:color w:val="000000" w:themeColor="text1"/>
          <w:sz w:val="24"/>
          <w14:textFill>
            <w14:solidFill>
              <w14:schemeClr w14:val="tx1"/>
            </w14:solidFill>
          </w14:textFill>
        </w:rPr>
        <w:t>统筹推进健康养老各项工作，全力扶持医养结合机构建设和服务开展，助力医养协同共赢。在2018年省级医养结合示范先行区评估验收中取得较好成绩，2处医养结合机构荣获山东省医养结合示范单位，目前我区共有医养结合机构4处，医养结合床位2350张，所有养老机构均与就近医疗机构签订合作协议，健康养老服务水平明显提升。</w:t>
      </w:r>
    </w:p>
    <w:p>
      <w:pPr>
        <w:spacing w:line="360" w:lineRule="auto"/>
        <w:ind w:firstLine="480" w:firstLineChars="200"/>
        <w:rPr>
          <w:rFonts w:ascii="宋体" w:hAnsi="宋体" w:eastAsia="宋体" w:cs="宋体"/>
          <w:bCs/>
          <w:color w:val="000000" w:themeColor="text1"/>
          <w:sz w:val="24"/>
          <w14:textFill>
            <w14:solidFill>
              <w14:schemeClr w14:val="tx1"/>
            </w14:solidFill>
          </w14:textFill>
        </w:rPr>
      </w:pPr>
      <w:r>
        <w:rPr>
          <w:rFonts w:hint="eastAsia" w:ascii="黑体" w:hAnsi="黑体" w:eastAsia="黑体" w:cs="黑体"/>
          <w:color w:val="000000" w:themeColor="text1"/>
          <w:sz w:val="24"/>
          <w14:textFill>
            <w14:solidFill>
              <w14:schemeClr w14:val="tx1"/>
            </w14:solidFill>
          </w14:textFill>
        </w:rPr>
        <w:t>7.加强公共卫生和医疗卫生监督，维护人民群众切身利益。</w:t>
      </w:r>
      <w:r>
        <w:rPr>
          <w:rFonts w:hint="eastAsia" w:ascii="宋体" w:hAnsi="宋体" w:eastAsia="宋体" w:cs="宋体"/>
          <w:bCs/>
          <w:color w:val="000000" w:themeColor="text1"/>
          <w:sz w:val="24"/>
          <w14:textFill>
            <w14:solidFill>
              <w14:schemeClr w14:val="tx1"/>
            </w14:solidFill>
          </w14:textFill>
        </w:rPr>
        <w:t>2020年累计建立电子健康档案180830份，为19937名65岁及以上老年人提供健康查体服务，组建79个家庭医生团队，全人群家庭医生签约76420人，其中签订个性化服务包3382个。紧紧围绕“强化内部管理，规范监督行为，加大执法力度，推进依法行政”的监督主线，采用卫生监督协管员与卫生监督员结对互助的方式和上下流动模式，织密织牢卫生监督执法网络，对公共场所、医疗卫生、传染病防治、生活饮用水、餐饮具消毒企业、放射卫生、职业卫生等被监管单位实施“</w:t>
      </w:r>
      <w:bookmarkStart w:id="110" w:name="_GoBack"/>
      <w:bookmarkEnd w:id="110"/>
      <w:r>
        <w:rPr>
          <w:rFonts w:hint="eastAsia" w:ascii="宋体" w:hAnsi="宋体" w:eastAsia="宋体" w:cs="宋体"/>
          <w:bCs/>
          <w:color w:val="000000" w:themeColor="text1"/>
          <w:sz w:val="24"/>
          <w14:textFill>
            <w14:solidFill>
              <w14:schemeClr w14:val="tx1"/>
            </w14:solidFill>
          </w14:textFill>
        </w:rPr>
        <w:t>双随机、一公开”监管，监督覆盖率达到100%，做到规范执法、严格执法。</w:t>
      </w:r>
    </w:p>
    <w:p>
      <w:pPr>
        <w:spacing w:line="360" w:lineRule="auto"/>
        <w:ind w:firstLine="422" w:firstLineChars="200"/>
        <w:rPr>
          <w:rFonts w:cs="仿宋_GB2312"/>
          <w:b/>
          <w:bCs/>
          <w:color w:val="000000" w:themeColor="text1"/>
          <w14:textFill>
            <w14:solidFill>
              <w14:schemeClr w14:val="tx1"/>
            </w14:solidFill>
          </w14:textFill>
        </w:rPr>
      </w:pPr>
      <w:r>
        <w:rPr>
          <w:rFonts w:cs="仿宋_GB2312"/>
          <w:b/>
          <w:bCs/>
          <w:color w:val="000000" w:themeColor="text1"/>
          <w14:textFill>
            <w14:solidFill>
              <w14:schemeClr w14:val="tx1"/>
            </w14:solidFill>
          </w14:textFill>
        </w:rPr>
        <w:t xml:space="preserve"> </w:t>
      </w:r>
      <w:r>
        <w:rPr>
          <w:rFonts w:hint="eastAsia" w:ascii="黑体" w:hAnsi="黑体" w:eastAsia="黑体" w:cs="黑体"/>
          <w:color w:val="000000" w:themeColor="text1"/>
          <w:sz w:val="24"/>
          <w14:textFill>
            <w14:solidFill>
              <w14:schemeClr w14:val="tx1"/>
            </w14:solidFill>
          </w14:textFill>
        </w:rPr>
        <w:t>（二）存在的主要问题</w:t>
      </w:r>
      <w:bookmarkEnd w:id="2"/>
    </w:p>
    <w:p>
      <w:pPr>
        <w:spacing w:line="360" w:lineRule="auto"/>
        <w:ind w:firstLine="480" w:firstLineChars="200"/>
        <w:rPr>
          <w:rFonts w:cs="宋体"/>
          <w:bCs/>
          <w:color w:val="000000" w:themeColor="text1"/>
          <w:sz w:val="24"/>
          <w14:textFill>
            <w14:solidFill>
              <w14:schemeClr w14:val="tx1"/>
            </w14:solidFill>
          </w14:textFill>
        </w:rPr>
      </w:pPr>
      <w:r>
        <w:rPr>
          <w:rFonts w:cs="宋体"/>
          <w:color w:val="000000" w:themeColor="text1"/>
          <w:sz w:val="24"/>
          <w14:textFill>
            <w14:solidFill>
              <w14:schemeClr w14:val="tx1"/>
            </w14:solidFill>
          </w14:textFill>
        </w:rPr>
        <w:t>一是</w:t>
      </w:r>
      <w:r>
        <w:rPr>
          <w:bCs/>
          <w:color w:val="000000" w:themeColor="text1"/>
          <w:sz w:val="24"/>
          <w:szCs w:val="28"/>
          <w14:textFill>
            <w14:solidFill>
              <w14:schemeClr w14:val="tx1"/>
            </w14:solidFill>
          </w14:textFill>
        </w:rPr>
        <w:t>医疗卫生资源结构较为复杂，医疗卫生服务体系尚不完善，非区属优质资源利用不足，基层卫生机构人力资源缺乏严重。</w:t>
      </w:r>
      <w:r>
        <w:rPr>
          <w:rFonts w:cs="宋体"/>
          <w:color w:val="000000" w:themeColor="text1"/>
          <w:sz w:val="24"/>
          <w14:textFill>
            <w14:solidFill>
              <w14:schemeClr w14:val="tx1"/>
            </w14:solidFill>
          </w14:textFill>
        </w:rPr>
        <w:t>二是</w:t>
      </w:r>
      <w:r>
        <w:rPr>
          <w:rFonts w:cs="宋体"/>
          <w:bCs/>
          <w:color w:val="000000" w:themeColor="text1"/>
          <w:sz w:val="24"/>
          <w14:textFill>
            <w14:solidFill>
              <w14:schemeClr w14:val="tx1"/>
            </w14:solidFill>
          </w14:textFill>
        </w:rPr>
        <w:t>公共卫生服务体系尚不健全，公共卫生专业人员配备严重不足，公共卫生基础条件较差，医防协同机制有待进一步完善。三是</w:t>
      </w:r>
      <w:r>
        <w:rPr>
          <w:rFonts w:cs="宋体"/>
          <w:color w:val="000000" w:themeColor="text1"/>
          <w:sz w:val="24"/>
          <w14:textFill>
            <w14:solidFill>
              <w14:schemeClr w14:val="tx1"/>
            </w14:solidFill>
          </w14:textFill>
        </w:rPr>
        <w:t>基层医疗卫生机构建设投入不足，医疗服务能力薄弱，中医药作用尚未得到</w:t>
      </w:r>
      <w:r>
        <w:rPr>
          <w:rFonts w:hint="eastAsia" w:cs="宋体"/>
          <w:color w:val="000000" w:themeColor="text1"/>
          <w:sz w:val="24"/>
          <w14:textFill>
            <w14:solidFill>
              <w14:schemeClr w14:val="tx1"/>
            </w14:solidFill>
          </w14:textFill>
        </w:rPr>
        <w:t>充分</w:t>
      </w:r>
      <w:r>
        <w:rPr>
          <w:rFonts w:cs="宋体"/>
          <w:color w:val="000000" w:themeColor="text1"/>
          <w:sz w:val="24"/>
          <w14:textFill>
            <w14:solidFill>
              <w14:schemeClr w14:val="tx1"/>
            </w14:solidFill>
          </w14:textFill>
        </w:rPr>
        <w:t>发挥，家庭医生签约服务质量有待提高。四是分级诊疗制度落实不到位，优质资源沉不下去，基层卫生机构全科医生配置缺口大。</w:t>
      </w:r>
      <w:r>
        <w:rPr>
          <w:rFonts w:cs="宋体"/>
          <w:bCs/>
          <w:iCs/>
          <w:color w:val="000000" w:themeColor="text1"/>
          <w:sz w:val="24"/>
          <w14:textFill>
            <w14:solidFill>
              <w14:schemeClr w14:val="tx1"/>
            </w14:solidFill>
          </w14:textFill>
        </w:rPr>
        <w:t>五是医养结合</w:t>
      </w:r>
      <w:r>
        <w:rPr>
          <w:rFonts w:hint="eastAsia" w:cs="宋体"/>
          <w:bCs/>
          <w:iCs/>
          <w:color w:val="000000" w:themeColor="text1"/>
          <w:sz w:val="24"/>
          <w14:textFill>
            <w14:solidFill>
              <w14:schemeClr w14:val="tx1"/>
            </w14:solidFill>
          </w14:textFill>
        </w:rPr>
        <w:t>优质服务资源不足，医养康护专业人才缺乏</w:t>
      </w:r>
      <w:r>
        <w:rPr>
          <w:rFonts w:cs="宋体"/>
          <w:bCs/>
          <w:iCs/>
          <w:color w:val="000000" w:themeColor="text1"/>
          <w:sz w:val="24"/>
          <w14:textFill>
            <w14:solidFill>
              <w14:schemeClr w14:val="tx1"/>
            </w14:solidFill>
          </w14:textFill>
        </w:rPr>
        <w:t>，</w:t>
      </w:r>
      <w:r>
        <w:rPr>
          <w:rFonts w:hint="eastAsia" w:cs="宋体"/>
          <w:bCs/>
          <w:iCs/>
          <w:color w:val="000000" w:themeColor="text1"/>
          <w:sz w:val="24"/>
          <w14:textFill>
            <w14:solidFill>
              <w14:schemeClr w14:val="tx1"/>
            </w14:solidFill>
          </w14:textFill>
        </w:rPr>
        <w:t>专业服务能力有待提高。</w:t>
      </w:r>
      <w:r>
        <w:rPr>
          <w:rFonts w:cs="宋体"/>
          <w:bCs/>
          <w:color w:val="000000" w:themeColor="text1"/>
          <w:sz w:val="24"/>
          <w14:textFill>
            <w14:solidFill>
              <w14:schemeClr w14:val="tx1"/>
            </w14:solidFill>
          </w14:textFill>
        </w:rPr>
        <w:t>医养产业总量不足，产业层次及发展理念等均需加强</w:t>
      </w:r>
      <w:r>
        <w:rPr>
          <w:rFonts w:hint="eastAsia" w:cs="宋体"/>
          <w:bCs/>
          <w:color w:val="000000" w:themeColor="text1"/>
          <w:sz w:val="24"/>
          <w14:textFill>
            <w14:solidFill>
              <w14:schemeClr w14:val="tx1"/>
            </w14:solidFill>
          </w14:textFill>
        </w:rPr>
        <w:t>。</w:t>
      </w:r>
    </w:p>
    <w:p>
      <w:pPr>
        <w:spacing w:line="360" w:lineRule="auto"/>
        <w:ind w:firstLine="480" w:firstLineChars="200"/>
        <w:outlineLvl w:val="1"/>
        <w:rPr>
          <w:rFonts w:cs="宋体"/>
          <w:bCs/>
          <w:color w:val="000000" w:themeColor="text1"/>
          <w:sz w:val="24"/>
          <w14:textFill>
            <w14:solidFill>
              <w14:schemeClr w14:val="tx1"/>
            </w14:solidFill>
          </w14:textFill>
        </w:rPr>
      </w:pPr>
      <w:bookmarkStart w:id="3" w:name="_Toc2590"/>
      <w:r>
        <w:rPr>
          <w:rFonts w:hint="eastAsia" w:ascii="黑体" w:hAnsi="黑体" w:eastAsia="黑体" w:cs="黑体"/>
          <w:bCs/>
          <w:color w:val="000000" w:themeColor="text1"/>
          <w:sz w:val="24"/>
          <w14:textFill>
            <w14:solidFill>
              <w14:schemeClr w14:val="tx1"/>
            </w14:solidFill>
          </w14:textFill>
        </w:rPr>
        <w:t>（三）面临的机遇与挑战</w:t>
      </w:r>
      <w:bookmarkEnd w:id="3"/>
    </w:p>
    <w:p>
      <w:pPr>
        <w:widowControl/>
        <w:spacing w:line="360" w:lineRule="auto"/>
        <w:ind w:firstLine="480" w:firstLineChars="200"/>
        <w:rPr>
          <w:rFonts w:asciiTheme="minorEastAsia" w:hAnsiTheme="minorEastAsia" w:cstheme="minorEastAsia"/>
          <w:bCs/>
          <w:color w:val="000000" w:themeColor="text1"/>
          <w:sz w:val="24"/>
          <w14:textFill>
            <w14:solidFill>
              <w14:schemeClr w14:val="tx1"/>
            </w14:solidFill>
          </w14:textFill>
        </w:rPr>
      </w:pPr>
      <w:r>
        <w:rPr>
          <w:rFonts w:cs="宋体"/>
          <w:bCs/>
          <w:color w:val="000000" w:themeColor="text1"/>
          <w:sz w:val="24"/>
          <w14:textFill>
            <w14:solidFill>
              <w14:schemeClr w14:val="tx1"/>
            </w14:solidFill>
          </w14:textFill>
        </w:rPr>
        <w:t>党中央、国务院高度重视卫生与健康事业发展，提出</w:t>
      </w:r>
      <w:r>
        <w:rPr>
          <w:rFonts w:hint="eastAsia" w:asciiTheme="minorEastAsia" w:hAnsiTheme="minorEastAsia" w:cstheme="minorEastAsia"/>
          <w:bCs/>
          <w:color w:val="000000" w:themeColor="text1"/>
          <w:sz w:val="24"/>
          <w14:textFill>
            <w14:solidFill>
              <w14:schemeClr w14:val="tx1"/>
            </w14:solidFill>
          </w14:textFill>
        </w:rPr>
        <w:t>“健康中国”</w:t>
      </w:r>
      <w:r>
        <w:rPr>
          <w:rFonts w:cs="宋体"/>
          <w:bCs/>
          <w:color w:val="000000" w:themeColor="text1"/>
          <w:sz w:val="24"/>
          <w14:textFill>
            <w14:solidFill>
              <w14:schemeClr w14:val="tx1"/>
            </w14:solidFill>
          </w14:textFill>
        </w:rPr>
        <w:t>建设战略，树立大卫生、大健康理念，将卫生与健康发展摆在经济社会发展全局的重要位置</w:t>
      </w:r>
      <w:r>
        <w:rPr>
          <w:rFonts w:hint="eastAsia" w:cs="宋体"/>
          <w:bCs/>
          <w:color w:val="000000" w:themeColor="text1"/>
          <w:sz w:val="24"/>
          <w14:textFill>
            <w14:solidFill>
              <w14:schemeClr w14:val="tx1"/>
            </w14:solidFill>
          </w14:textFill>
        </w:rPr>
        <w:t>。</w:t>
      </w:r>
      <w:r>
        <w:rPr>
          <w:rFonts w:cs="宋体"/>
          <w:bCs/>
          <w:color w:val="000000" w:themeColor="text1"/>
          <w:sz w:val="24"/>
          <w14:textFill>
            <w14:solidFill>
              <w14:schemeClr w14:val="tx1"/>
            </w14:solidFill>
          </w14:textFill>
        </w:rPr>
        <w:t>《健康中国行动（</w:t>
      </w:r>
      <w:r>
        <w:rPr>
          <w:rFonts w:hint="eastAsia" w:asciiTheme="minorEastAsia" w:hAnsiTheme="minorEastAsia" w:cstheme="minorEastAsia"/>
          <w:bCs/>
          <w:color w:val="000000" w:themeColor="text1"/>
          <w:sz w:val="24"/>
          <w14:textFill>
            <w14:solidFill>
              <w14:schemeClr w14:val="tx1"/>
            </w14:solidFill>
          </w14:textFill>
        </w:rPr>
        <w:t>2019-2030年）》围绕疾病预防和健康促进两大核心，从政府、社会、个人（家庭）三个层面协同推进组织实施15项重大行动，健康中国持续深化，推进健康中国建设已成为全社会的重要共识。省市两级党委、政府深入推进医药卫生体制改革，着力构建健康优先制度体系和政策体系，卫生与健康事业发展的目标方向十分明确。</w:t>
      </w:r>
    </w:p>
    <w:p>
      <w:pPr>
        <w:spacing w:line="360" w:lineRule="auto"/>
        <w:ind w:firstLine="480" w:firstLineChars="200"/>
        <w:rPr>
          <w:rFonts w:asciiTheme="minorEastAsia" w:hAnsiTheme="minorEastAsia" w:cstheme="minorEastAsia"/>
          <w:strike/>
          <w:color w:val="000000" w:themeColor="text1"/>
          <w:sz w:val="24"/>
          <w14:textFill>
            <w14:solidFill>
              <w14:schemeClr w14:val="tx1"/>
            </w14:solidFill>
          </w14:textFill>
        </w:rPr>
      </w:pPr>
      <w:r>
        <w:rPr>
          <w:rFonts w:hint="eastAsia" w:asciiTheme="minorEastAsia" w:hAnsiTheme="minorEastAsia" w:cstheme="minorEastAsia"/>
          <w:color w:val="000000" w:themeColor="text1"/>
          <w:sz w:val="24"/>
          <w14:textFill>
            <w14:solidFill>
              <w14:schemeClr w14:val="tx1"/>
            </w14:solidFill>
          </w14:textFill>
        </w:rPr>
        <w:t>同时，我区卫生与健康事业发展仍然面临新的挑战。一是人口老龄化势态严峻，</w:t>
      </w:r>
      <w:r>
        <w:rPr>
          <w:rFonts w:hint="eastAsia" w:asciiTheme="minorEastAsia" w:hAnsiTheme="minorEastAsia" w:cstheme="minorEastAsia"/>
          <w:bCs/>
          <w:color w:val="000000" w:themeColor="text1"/>
          <w:sz w:val="24"/>
          <w14:textFill>
            <w14:solidFill>
              <w14:schemeClr w14:val="tx1"/>
            </w14:solidFill>
          </w14:textFill>
        </w:rPr>
        <w:t>生育率维持较低水平，需加快完善“一老一小”养老照护和普惠托育服务。</w:t>
      </w:r>
      <w:r>
        <w:rPr>
          <w:rFonts w:hint="eastAsia" w:asciiTheme="minorEastAsia" w:hAnsiTheme="minorEastAsia" w:cstheme="minorEastAsia"/>
          <w:color w:val="000000" w:themeColor="text1"/>
          <w:sz w:val="24"/>
          <w14:textFill>
            <w14:solidFill>
              <w14:schemeClr w14:val="tx1"/>
            </w14:solidFill>
          </w14:textFill>
        </w:rPr>
        <w:t>二是城镇化不断推进，职业卫生、环境安全、食品安全、生活方式等多种影响健康因素相互交织，新发传染病不断出现，慢性非传染性疾病负担重。三是医疗卫生资源供需矛盾将更加突出，迫切需要合理规划有限的医疗卫生资源，创新服务模式和管理方式，不断满足人民群众多层次、多样化的健康服务需求。此外，</w:t>
      </w:r>
      <w:r>
        <w:rPr>
          <w:rFonts w:hint="eastAsia" w:asciiTheme="minorEastAsia" w:hAnsiTheme="minorEastAsia" w:cstheme="minorEastAsia"/>
          <w:bCs/>
          <w:color w:val="000000" w:themeColor="text1"/>
          <w:sz w:val="24"/>
          <w14:textFill>
            <w14:solidFill>
              <w14:schemeClr w14:val="tx1"/>
            </w14:solidFill>
          </w14:textFill>
        </w:rPr>
        <w:t>新型冠状病毒防疫战不仅反映出公共卫生体系建设</w:t>
      </w:r>
      <w:r>
        <w:rPr>
          <w:rFonts w:cs="宋体"/>
          <w:bCs/>
          <w:color w:val="000000" w:themeColor="text1"/>
          <w:sz w:val="24"/>
          <w14:textFill>
            <w14:solidFill>
              <w14:schemeClr w14:val="tx1"/>
            </w14:solidFill>
          </w14:textFill>
        </w:rPr>
        <w:t>的重要性，也凸显出存在的短板和薄弱环节，更是给卫生健康事业发展提出更高要求，必须高度重视公共卫生体系的供给侧结构性改革以及预防型公共卫生防疫体系建设。</w:t>
      </w:r>
    </w:p>
    <w:p>
      <w:pPr>
        <w:spacing w:line="360" w:lineRule="auto"/>
        <w:ind w:firstLine="482" w:firstLineChars="200"/>
        <w:outlineLvl w:val="0"/>
        <w:rPr>
          <w:rFonts w:cs="宋体"/>
          <w:b/>
          <w:color w:val="000000" w:themeColor="text1"/>
          <w:sz w:val="24"/>
          <w14:textFill>
            <w14:solidFill>
              <w14:schemeClr w14:val="tx1"/>
            </w14:solidFill>
          </w14:textFill>
        </w:rPr>
      </w:pPr>
      <w:bookmarkStart w:id="4" w:name="_Toc14232"/>
      <w:r>
        <w:rPr>
          <w:rFonts w:hint="eastAsia" w:cs="宋体"/>
          <w:b/>
          <w:color w:val="000000" w:themeColor="text1"/>
          <w:sz w:val="24"/>
          <w14:textFill>
            <w14:solidFill>
              <w14:schemeClr w14:val="tx1"/>
            </w14:solidFill>
          </w14:textFill>
        </w:rPr>
        <w:t>二、总体要求</w:t>
      </w:r>
      <w:bookmarkEnd w:id="4"/>
    </w:p>
    <w:p>
      <w:pPr>
        <w:spacing w:line="360" w:lineRule="auto"/>
        <w:ind w:firstLine="480" w:firstLineChars="200"/>
        <w:outlineLvl w:val="1"/>
        <w:rPr>
          <w:rFonts w:cs="宋体"/>
          <w:bCs/>
          <w:color w:val="000000" w:themeColor="text1"/>
          <w:sz w:val="24"/>
          <w14:textFill>
            <w14:solidFill>
              <w14:schemeClr w14:val="tx1"/>
            </w14:solidFill>
          </w14:textFill>
        </w:rPr>
      </w:pPr>
      <w:bookmarkStart w:id="5" w:name="_Toc7165"/>
      <w:r>
        <w:rPr>
          <w:rFonts w:hint="eastAsia" w:ascii="黑体" w:hAnsi="黑体" w:eastAsia="黑体" w:cs="黑体"/>
          <w:bCs/>
          <w:color w:val="000000" w:themeColor="text1"/>
          <w:sz w:val="24"/>
          <w14:textFill>
            <w14:solidFill>
              <w14:schemeClr w14:val="tx1"/>
            </w14:solidFill>
          </w14:textFill>
        </w:rPr>
        <w:t>（一）指导思想</w:t>
      </w:r>
      <w:bookmarkEnd w:id="5"/>
    </w:p>
    <w:p>
      <w:pPr>
        <w:spacing w:line="360" w:lineRule="auto"/>
        <w:ind w:firstLine="480" w:firstLineChars="200"/>
        <w:rPr>
          <w:rFonts w:cs="宋体"/>
          <w:bCs/>
          <w:color w:val="000000" w:themeColor="text1"/>
          <w:sz w:val="24"/>
          <w14:textFill>
            <w14:solidFill>
              <w14:schemeClr w14:val="tx1"/>
            </w14:solidFill>
          </w14:textFill>
        </w:rPr>
      </w:pPr>
      <w:r>
        <w:rPr>
          <w:rFonts w:cs="宋体"/>
          <w:bCs/>
          <w:color w:val="000000" w:themeColor="text1"/>
          <w:sz w:val="24"/>
          <w14:textFill>
            <w14:solidFill>
              <w14:schemeClr w14:val="tx1"/>
            </w14:solidFill>
          </w14:textFill>
        </w:rPr>
        <w:t>以习近平新时代中国特色社会主义思想为指导，全面贯彻党的十九大和十九届二中、三中、四中、五中</w:t>
      </w:r>
      <w:r>
        <w:rPr>
          <w:rFonts w:hint="eastAsia" w:cs="宋体"/>
          <w:bCs/>
          <w:color w:val="000000" w:themeColor="text1"/>
          <w:sz w:val="24"/>
          <w14:textFill>
            <w14:solidFill>
              <w14:schemeClr w14:val="tx1"/>
            </w14:solidFill>
          </w14:textFill>
        </w:rPr>
        <w:t>、六中</w:t>
      </w:r>
      <w:r>
        <w:rPr>
          <w:rFonts w:cs="宋体"/>
          <w:bCs/>
          <w:color w:val="000000" w:themeColor="text1"/>
          <w:sz w:val="24"/>
          <w14:textFill>
            <w14:solidFill>
              <w14:schemeClr w14:val="tx1"/>
            </w14:solidFill>
          </w14:textFill>
        </w:rPr>
        <w:t>全会精神，坚持新时代卫生健康工作方针，牢固树立大卫生、大健康理念，以维护人民健康为中心，以打造整合型医疗服务体系为主线，以改革创新为动力，坚持以促健康、转模式、强基层、重保障为着力点，坚持推进卫生健康基本公共服务均等化、普惠化、便捷化，将健康融入所有政策，立足当前、着眼长远，着力补短板、堵漏洞、强弱项，推进卫生健康服务体系建设，为人民群众提供全方位全周期健康服务</w:t>
      </w:r>
      <w:r>
        <w:rPr>
          <w:rFonts w:hint="eastAsia" w:cs="宋体"/>
          <w:bCs/>
          <w:color w:val="000000" w:themeColor="text1"/>
          <w:sz w:val="24"/>
          <w14:textFill>
            <w14:solidFill>
              <w14:schemeClr w14:val="tx1"/>
            </w14:solidFill>
          </w14:textFill>
        </w:rPr>
        <w:t>，不断增强人民群众的获得感、幸福感和安全感。</w:t>
      </w:r>
    </w:p>
    <w:p>
      <w:pPr>
        <w:spacing w:line="360" w:lineRule="auto"/>
        <w:ind w:firstLine="480" w:firstLineChars="200"/>
        <w:outlineLvl w:val="1"/>
        <w:rPr>
          <w:rFonts w:cs="宋体"/>
          <w:bCs/>
          <w:color w:val="000000" w:themeColor="text1"/>
          <w:sz w:val="24"/>
          <w14:textFill>
            <w14:solidFill>
              <w14:schemeClr w14:val="tx1"/>
            </w14:solidFill>
          </w14:textFill>
        </w:rPr>
      </w:pPr>
      <w:bookmarkStart w:id="6" w:name="_Toc15425"/>
      <w:r>
        <w:rPr>
          <w:rFonts w:hint="eastAsia" w:ascii="黑体" w:hAnsi="黑体" w:eastAsia="黑体" w:cs="黑体"/>
          <w:bCs/>
          <w:color w:val="000000" w:themeColor="text1"/>
          <w:sz w:val="24"/>
          <w14:textFill>
            <w14:solidFill>
              <w14:schemeClr w14:val="tx1"/>
            </w14:solidFill>
          </w14:textFill>
        </w:rPr>
        <w:t>（二）发展目标</w:t>
      </w:r>
      <w:bookmarkEnd w:id="6"/>
    </w:p>
    <w:p>
      <w:pPr>
        <w:spacing w:line="360" w:lineRule="auto"/>
        <w:ind w:firstLine="480" w:firstLineChars="200"/>
        <w:rPr>
          <w:rFonts w:cs="宋体"/>
          <w:color w:val="000000" w:themeColor="text1"/>
          <w:sz w:val="24"/>
          <w14:textFill>
            <w14:solidFill>
              <w14:schemeClr w14:val="tx1"/>
            </w14:solidFill>
          </w14:textFill>
        </w:rPr>
      </w:pPr>
      <w:r>
        <w:rPr>
          <w:rFonts w:hint="eastAsia" w:cs="宋体"/>
          <w:color w:val="000000" w:themeColor="text1"/>
          <w:sz w:val="24"/>
          <w14:textFill>
            <w14:solidFill>
              <w14:schemeClr w14:val="tx1"/>
            </w14:solidFill>
          </w14:textFill>
        </w:rPr>
        <w:t>推进健康莱山建设，稳步提升人均预期寿命，基本公共服务均等化水平明显提高，多层次社会保障体系更加健全，卫生健康体系更加完善。</w:t>
      </w:r>
      <w:r>
        <w:rPr>
          <w:rFonts w:hint="eastAsia" w:ascii="宋体" w:hAnsi="宋体" w:eastAsia="宋体" w:cs="宋体"/>
          <w:color w:val="000000" w:themeColor="text1"/>
          <w:kern w:val="0"/>
          <w:sz w:val="24"/>
          <w14:textFill>
            <w14:solidFill>
              <w14:schemeClr w14:val="tx1"/>
            </w14:solidFill>
          </w14:textFill>
        </w:rPr>
        <w:t>到2022年，公共卫生服务体系和医疗卫生服务体系进一步优化，健康促进政策体系基本建立，全民健康素养水平稳步提高，健康生活方式加快推广，健康环境质量不断改善，重点人群健康状况得到显著改善，主要健康指标明显提高。</w:t>
      </w:r>
      <w:r>
        <w:rPr>
          <w:rFonts w:cs="宋体"/>
          <w:color w:val="000000" w:themeColor="text1"/>
          <w:sz w:val="24"/>
          <w14:textFill>
            <w14:solidFill>
              <w14:schemeClr w14:val="tx1"/>
            </w14:solidFill>
          </w14:textFill>
        </w:rPr>
        <w:t>到</w:t>
      </w:r>
      <w:r>
        <w:rPr>
          <w:rFonts w:hint="eastAsia" w:ascii="宋体" w:hAnsi="宋体" w:eastAsia="宋体" w:cs="宋体"/>
          <w:color w:val="000000" w:themeColor="text1"/>
          <w:kern w:val="0"/>
          <w:sz w:val="24"/>
          <w14:textFill>
            <w14:solidFill>
              <w14:schemeClr w14:val="tx1"/>
            </w14:solidFill>
          </w14:textFill>
        </w:rPr>
        <w:t>2025</w:t>
      </w:r>
      <w:r>
        <w:rPr>
          <w:rFonts w:cs="宋体"/>
          <w:color w:val="000000" w:themeColor="text1"/>
          <w:sz w:val="24"/>
          <w14:textFill>
            <w14:solidFill>
              <w14:schemeClr w14:val="tx1"/>
            </w14:solidFill>
          </w14:textFill>
        </w:rPr>
        <w:t>年，实现</w:t>
      </w:r>
      <w:r>
        <w:rPr>
          <w:rFonts w:cs="宋体"/>
          <w:bCs/>
          <w:color w:val="000000" w:themeColor="text1"/>
          <w:sz w:val="24"/>
          <w14:textFill>
            <w14:solidFill>
              <w14:schemeClr w14:val="tx1"/>
            </w14:solidFill>
          </w14:textFill>
        </w:rPr>
        <w:t>卫生健康事业高质量发展</w:t>
      </w:r>
      <w:r>
        <w:rPr>
          <w:rFonts w:cs="宋体"/>
          <w:color w:val="000000" w:themeColor="text1"/>
          <w:sz w:val="24"/>
          <w14:textFill>
            <w14:solidFill>
              <w14:schemeClr w14:val="tx1"/>
            </w14:solidFill>
          </w14:textFill>
        </w:rPr>
        <w:t>，</w:t>
      </w:r>
      <w:r>
        <w:rPr>
          <w:rFonts w:cs="宋体"/>
          <w:bCs/>
          <w:color w:val="000000" w:themeColor="text1"/>
          <w:sz w:val="24"/>
          <w14:textFill>
            <w14:solidFill>
              <w14:schemeClr w14:val="tx1"/>
            </w14:solidFill>
          </w14:textFill>
        </w:rPr>
        <w:t>满足人民日益增长的健康需求，</w:t>
      </w:r>
      <w:r>
        <w:rPr>
          <w:rFonts w:hint="eastAsia" w:ascii="宋体" w:hAnsi="宋体" w:eastAsia="宋体" w:cs="宋体"/>
          <w:color w:val="000000" w:themeColor="text1"/>
          <w:kern w:val="0"/>
          <w:sz w:val="24"/>
          <w14:textFill>
            <w14:solidFill>
              <w14:schemeClr w14:val="tx1"/>
            </w14:solidFill>
          </w14:textFill>
        </w:rPr>
        <w:t>全民健康素养水平大幅提升，健康生活方式</w:t>
      </w:r>
      <w:r>
        <w:rPr>
          <w:rFonts w:hint="eastAsia" w:cs="宋体"/>
          <w:color w:val="000000" w:themeColor="text1"/>
          <w:kern w:val="0"/>
          <w:sz w:val="24"/>
          <w14:textFill>
            <w14:solidFill>
              <w14:schemeClr w14:val="tx1"/>
            </w14:solidFill>
          </w14:textFill>
        </w:rPr>
        <w:t>不断</w:t>
      </w:r>
      <w:r>
        <w:rPr>
          <w:rFonts w:hint="eastAsia" w:ascii="宋体" w:hAnsi="宋体" w:eastAsia="宋体" w:cs="宋体"/>
          <w:color w:val="000000" w:themeColor="text1"/>
          <w:kern w:val="0"/>
          <w:sz w:val="24"/>
          <w14:textFill>
            <w14:solidFill>
              <w14:schemeClr w14:val="tx1"/>
            </w14:solidFill>
          </w14:textFill>
        </w:rPr>
        <w:t>普及，人均预期寿命达到81.5岁，健康预期寿命同比例增加，</w:t>
      </w:r>
      <w:r>
        <w:rPr>
          <w:rFonts w:cs="宋体"/>
          <w:color w:val="000000" w:themeColor="text1"/>
          <w:sz w:val="24"/>
          <w14:textFill>
            <w14:solidFill>
              <w14:schemeClr w14:val="tx1"/>
            </w14:solidFill>
          </w14:textFill>
        </w:rPr>
        <w:t>主要健康指标</w:t>
      </w:r>
      <w:r>
        <w:rPr>
          <w:rFonts w:hint="eastAsia" w:cs="宋体"/>
          <w:color w:val="000000" w:themeColor="text1"/>
          <w:sz w:val="24"/>
          <w14:textFill>
            <w14:solidFill>
              <w14:schemeClr w14:val="tx1"/>
            </w14:solidFill>
          </w14:textFill>
        </w:rPr>
        <w:t>位居烟台市前列。</w:t>
      </w:r>
    </w:p>
    <w:p>
      <w:pPr>
        <w:spacing w:line="360" w:lineRule="auto"/>
        <w:ind w:firstLine="480" w:firstLineChars="200"/>
        <w:rPr>
          <w:rFonts w:ascii="宋体" w:hAnsi="宋体" w:eastAsia="宋体" w:cs="宋体"/>
          <w:color w:val="000000" w:themeColor="text1"/>
          <w:sz w:val="24"/>
          <w:shd w:val="clear" w:color="auto" w:fill="FFFFFF"/>
          <w14:textFill>
            <w14:solidFill>
              <w14:schemeClr w14:val="tx1"/>
            </w14:solidFill>
          </w14:textFill>
        </w:rPr>
      </w:pPr>
      <w:r>
        <w:rPr>
          <w:rFonts w:hint="eastAsia" w:ascii="宋体" w:hAnsi="宋体" w:eastAsia="宋体" w:cs="宋体"/>
          <w:color w:val="000000" w:themeColor="text1"/>
          <w:sz w:val="24"/>
          <w:shd w:val="clear" w:color="auto" w:fill="FFFFFF"/>
          <w14:textFill>
            <w14:solidFill>
              <w14:schemeClr w14:val="tx1"/>
            </w14:solidFill>
          </w14:textFill>
        </w:rPr>
        <w:t>——持续完善卫生健康服务体系，显著增强医疗服务能力。医疗资源配置结构更加合理，优质医疗资源更加充裕、均衡，整合型医疗卫生服务体系基本建成，分级诊疗格局加快形成，更好满足人民群众全方位全周期的健康需求。</w:t>
      </w:r>
    </w:p>
    <w:p>
      <w:pPr>
        <w:spacing w:line="360" w:lineRule="auto"/>
        <w:ind w:firstLine="480" w:firstLineChars="200"/>
        <w:rPr>
          <w:rFonts w:ascii="宋体" w:hAnsi="宋体" w:eastAsia="宋体" w:cs="宋体"/>
          <w:color w:val="000000" w:themeColor="text1"/>
          <w:sz w:val="24"/>
          <w:shd w:val="clear" w:color="auto" w:fill="FFFFFF"/>
          <w14:textFill>
            <w14:solidFill>
              <w14:schemeClr w14:val="tx1"/>
            </w14:solidFill>
          </w14:textFill>
        </w:rPr>
      </w:pPr>
      <w:r>
        <w:rPr>
          <w:rFonts w:hint="eastAsia" w:ascii="宋体" w:hAnsi="宋体" w:eastAsia="宋体" w:cs="宋体"/>
          <w:color w:val="000000" w:themeColor="text1"/>
          <w:sz w:val="24"/>
          <w:shd w:val="clear" w:color="auto" w:fill="FFFFFF"/>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完善平急结合、科学高效的重大疫情防控机制，构建体系健全、功能完善的公共卫生体系，显著提高应对突发重大公共卫生事件的能力和水平。</w:t>
      </w:r>
    </w:p>
    <w:p>
      <w:pPr>
        <w:widowControl/>
        <w:spacing w:line="360" w:lineRule="auto"/>
        <w:ind w:firstLine="480" w:firstLineChars="200"/>
        <w:rPr>
          <w:rFonts w:ascii="宋体" w:hAnsi="宋体" w:eastAsia="宋体" w:cs="宋体"/>
          <w:color w:val="000000" w:themeColor="text1"/>
          <w:sz w:val="24"/>
          <w:shd w:val="clear" w:color="auto" w:fill="FFFFFF"/>
          <w14:textFill>
            <w14:solidFill>
              <w14:schemeClr w14:val="tx1"/>
            </w14:solidFill>
          </w14:textFill>
        </w:rPr>
      </w:pPr>
      <w:r>
        <w:rPr>
          <w:rFonts w:hint="eastAsia" w:ascii="宋体" w:hAnsi="宋体" w:eastAsia="宋体" w:cs="宋体"/>
          <w:color w:val="000000" w:themeColor="text1"/>
          <w:sz w:val="24"/>
          <w:shd w:val="clear" w:color="auto" w:fill="FFFFFF"/>
          <w14:textFill>
            <w14:solidFill>
              <w14:schemeClr w14:val="tx1"/>
            </w14:solidFill>
          </w14:textFill>
        </w:rPr>
        <w:t>——</w:t>
      </w:r>
      <w:r>
        <w:rPr>
          <w:rFonts w:hint="eastAsia" w:asciiTheme="minorEastAsia" w:hAnsiTheme="minorEastAsia" w:cstheme="minorEastAsia"/>
          <w:color w:val="000000" w:themeColor="text1"/>
          <w:sz w:val="24"/>
          <w14:textFill>
            <w14:solidFill>
              <w14:schemeClr w14:val="tx1"/>
            </w14:solidFill>
          </w14:textFill>
        </w:rPr>
        <w:t>落实生育政策，完善生育支持配套措施，发展普惠托育服务体系，促进人口长期均衡发展，</w:t>
      </w:r>
      <w:r>
        <w:rPr>
          <w:rFonts w:hint="eastAsia" w:ascii="宋体" w:hAnsi="宋体" w:eastAsia="宋体" w:cs="宋体"/>
          <w:color w:val="000000" w:themeColor="text1"/>
          <w:sz w:val="24"/>
          <w14:textFill>
            <w14:solidFill>
              <w14:schemeClr w14:val="tx1"/>
            </w14:solidFill>
          </w14:textFill>
        </w:rPr>
        <w:t>增强妇幼健康服务保障能力，</w:t>
      </w:r>
      <w:r>
        <w:rPr>
          <w:rFonts w:hint="eastAsia" w:cs="宋体"/>
          <w:color w:val="000000" w:themeColor="text1"/>
          <w:sz w:val="24"/>
          <w:shd w:val="clear" w:color="auto" w:fill="FFFFFF"/>
          <w14:textFill>
            <w14:solidFill>
              <w14:schemeClr w14:val="tx1"/>
            </w14:solidFill>
          </w14:textFill>
        </w:rPr>
        <w:t>进一步提高出生人口素质</w:t>
      </w:r>
      <w:r>
        <w:rPr>
          <w:rFonts w:hint="eastAsia" w:ascii="宋体" w:hAnsi="宋体" w:eastAsia="宋体" w:cs="宋体"/>
          <w:color w:val="000000" w:themeColor="text1"/>
          <w:sz w:val="24"/>
          <w:shd w:val="clear" w:color="auto" w:fill="FFFFFF"/>
          <w14:textFill>
            <w14:solidFill>
              <w14:schemeClr w14:val="tx1"/>
            </w14:solidFill>
          </w14:textFill>
        </w:rPr>
        <w:t>。</w:t>
      </w:r>
    </w:p>
    <w:p>
      <w:pPr>
        <w:widowControl/>
        <w:spacing w:line="360" w:lineRule="auto"/>
        <w:ind w:firstLine="480" w:firstLineChars="200"/>
        <w:rPr>
          <w:rFonts w:ascii="宋体" w:hAnsi="宋体" w:eastAsia="宋体" w:cs="宋体"/>
          <w:color w:val="000000" w:themeColor="text1"/>
          <w:sz w:val="24"/>
          <w:shd w:val="clear" w:color="auto" w:fill="FFFFFF"/>
          <w14:textFill>
            <w14:solidFill>
              <w14:schemeClr w14:val="tx1"/>
            </w14:solidFill>
          </w14:textFill>
        </w:rPr>
      </w:pPr>
      <w:r>
        <w:rPr>
          <w:rFonts w:hint="eastAsia" w:ascii="宋体" w:hAnsi="宋体" w:eastAsia="宋体" w:cs="宋体"/>
          <w:color w:val="000000" w:themeColor="text1"/>
          <w:sz w:val="24"/>
          <w:shd w:val="clear" w:color="auto" w:fill="FFFFFF"/>
          <w14:textFill>
            <w14:solidFill>
              <w14:schemeClr w14:val="tx1"/>
            </w14:solidFill>
          </w14:textFill>
        </w:rPr>
        <w:t>——促进医养融合发展，建立医疗养老联合体或共同体，加强建设智慧健康养老社区、基地和企业，充分发挥中医药特色优势，拓展中医药健康养老服务。</w:t>
      </w:r>
    </w:p>
    <w:p>
      <w:pPr>
        <w:widowControl/>
        <w:spacing w:line="360" w:lineRule="auto"/>
        <w:ind w:firstLine="480" w:firstLineChars="200"/>
        <w:rPr>
          <w:rFonts w:ascii="宋体" w:hAnsi="宋体" w:eastAsia="宋体" w:cs="宋体"/>
          <w:color w:val="000000" w:themeColor="text1"/>
          <w:sz w:val="24"/>
          <w:shd w:val="clear" w:color="auto" w:fill="FFFFFF"/>
          <w14:textFill>
            <w14:solidFill>
              <w14:schemeClr w14:val="tx1"/>
            </w14:solidFill>
          </w14:textFill>
        </w:rPr>
      </w:pPr>
      <w:r>
        <w:rPr>
          <w:rFonts w:hint="eastAsia" w:ascii="宋体" w:hAnsi="宋体" w:eastAsia="宋体" w:cs="宋体"/>
          <w:color w:val="000000" w:themeColor="text1"/>
          <w:sz w:val="24"/>
          <w:shd w:val="clear" w:color="auto" w:fill="FFFFFF"/>
          <w14:textFill>
            <w14:solidFill>
              <w14:schemeClr w14:val="tx1"/>
            </w14:solidFill>
          </w14:textFill>
        </w:rPr>
        <w:t>——加快推进基本医疗系统、基本公共卫生服务系统、家庭医生签约系统的互联互通、信息共享和业务协同。</w:t>
      </w:r>
    </w:p>
    <w:p>
      <w:pPr>
        <w:widowControl/>
        <w:spacing w:line="360" w:lineRule="auto"/>
        <w:ind w:firstLine="480" w:firstLineChars="200"/>
        <w:rPr>
          <w:rFonts w:ascii="宋体" w:hAnsi="宋体" w:eastAsia="宋体" w:cs="宋体"/>
          <w:color w:val="000000" w:themeColor="text1"/>
          <w:sz w:val="24"/>
          <w:shd w:val="clear" w:color="auto" w:fill="FFFFFF"/>
          <w14:textFill>
            <w14:solidFill>
              <w14:schemeClr w14:val="tx1"/>
            </w14:solidFill>
          </w14:textFill>
        </w:rPr>
      </w:pPr>
    </w:p>
    <w:p>
      <w:pPr>
        <w:jc w:val="center"/>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表1主要发展指标</w:t>
      </w:r>
    </w:p>
    <w:tbl>
      <w:tblPr>
        <w:tblStyle w:val="7"/>
        <w:tblW w:w="5214" w:type="pct"/>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0" w:type="dxa"/>
          <w:bottom w:w="0" w:type="dxa"/>
          <w:right w:w="0" w:type="dxa"/>
        </w:tblCellMar>
      </w:tblPr>
      <w:tblGrid>
        <w:gridCol w:w="829"/>
        <w:gridCol w:w="643"/>
        <w:gridCol w:w="3385"/>
        <w:gridCol w:w="847"/>
        <w:gridCol w:w="854"/>
        <w:gridCol w:w="994"/>
        <w:gridCol w:w="114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38" w:hRule="atLeast"/>
          <w:jc w:val="center"/>
        </w:trPr>
        <w:tc>
          <w:tcPr>
            <w:tcW w:w="477" w:type="pct"/>
            <w:shd w:val="clear" w:color="auto" w:fill="FFFFFF"/>
            <w:tcMar>
              <w:top w:w="15" w:type="dxa"/>
              <w:left w:w="15" w:type="dxa"/>
              <w:right w:w="15" w:type="dxa"/>
            </w:tcMar>
            <w:vAlign w:val="center"/>
          </w:tcPr>
          <w:p>
            <w:pPr>
              <w:widowControl/>
              <w:spacing w:line="300" w:lineRule="exact"/>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领域</w:t>
            </w:r>
          </w:p>
        </w:tc>
        <w:tc>
          <w:tcPr>
            <w:tcW w:w="370" w:type="pct"/>
            <w:shd w:val="clear" w:color="auto" w:fill="FFFFFF"/>
            <w:vAlign w:val="center"/>
          </w:tcPr>
          <w:p>
            <w:pPr>
              <w:widowControl/>
              <w:spacing w:line="300" w:lineRule="exact"/>
              <w:jc w:val="center"/>
              <w:textAlignment w:val="center"/>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序号</w:t>
            </w:r>
          </w:p>
        </w:tc>
        <w:tc>
          <w:tcPr>
            <w:tcW w:w="1947" w:type="pct"/>
            <w:shd w:val="clear" w:color="auto" w:fill="FFFFFF"/>
            <w:tcMar>
              <w:top w:w="15" w:type="dxa"/>
              <w:left w:w="15" w:type="dxa"/>
              <w:right w:w="15" w:type="dxa"/>
            </w:tcMar>
            <w:vAlign w:val="center"/>
          </w:tcPr>
          <w:p>
            <w:pPr>
              <w:widowControl/>
              <w:spacing w:line="300" w:lineRule="exact"/>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主要指标</w:t>
            </w:r>
          </w:p>
        </w:tc>
        <w:tc>
          <w:tcPr>
            <w:tcW w:w="487" w:type="pct"/>
            <w:shd w:val="clear" w:color="auto" w:fill="FFFFFF"/>
            <w:tcMar>
              <w:top w:w="15" w:type="dxa"/>
              <w:left w:w="15" w:type="dxa"/>
              <w:right w:w="15" w:type="dxa"/>
            </w:tcMar>
            <w:vAlign w:val="center"/>
          </w:tcPr>
          <w:p>
            <w:pPr>
              <w:widowControl/>
              <w:spacing w:line="300" w:lineRule="exact"/>
              <w:jc w:val="center"/>
              <w:textAlignment w:val="center"/>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单位</w:t>
            </w:r>
          </w:p>
        </w:tc>
        <w:tc>
          <w:tcPr>
            <w:tcW w:w="491" w:type="pct"/>
            <w:shd w:val="clear" w:color="auto" w:fill="FFFFFF"/>
            <w:tcMar>
              <w:top w:w="15" w:type="dxa"/>
              <w:left w:w="15" w:type="dxa"/>
              <w:right w:w="15" w:type="dxa"/>
            </w:tcMar>
            <w:vAlign w:val="center"/>
          </w:tcPr>
          <w:p>
            <w:pPr>
              <w:widowControl/>
              <w:spacing w:line="300" w:lineRule="exact"/>
              <w:jc w:val="center"/>
              <w:textAlignment w:val="center"/>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2020年</w:t>
            </w:r>
          </w:p>
        </w:tc>
        <w:tc>
          <w:tcPr>
            <w:tcW w:w="572" w:type="pct"/>
            <w:shd w:val="clear" w:color="auto" w:fill="FFFFFF"/>
            <w:vAlign w:val="center"/>
          </w:tcPr>
          <w:p>
            <w:pPr>
              <w:widowControl/>
              <w:spacing w:line="300" w:lineRule="exact"/>
              <w:jc w:val="center"/>
              <w:textAlignment w:val="center"/>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2025年</w:t>
            </w:r>
          </w:p>
        </w:tc>
        <w:tc>
          <w:tcPr>
            <w:tcW w:w="656" w:type="pct"/>
            <w:shd w:val="clear" w:color="auto" w:fill="FFFFFF"/>
          </w:tcPr>
          <w:p>
            <w:pPr>
              <w:widowControl/>
              <w:spacing w:line="300" w:lineRule="exact"/>
              <w:jc w:val="center"/>
              <w:textAlignment w:val="center"/>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指标性质</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77" w:type="pct"/>
            <w:vMerge w:val="restart"/>
            <w:shd w:val="clear" w:color="auto" w:fill="FFFFFF"/>
            <w:tcMar>
              <w:top w:w="15" w:type="dxa"/>
              <w:left w:w="15" w:type="dxa"/>
              <w:right w:w="15" w:type="dxa"/>
            </w:tcMar>
            <w:vAlign w:val="center"/>
          </w:tcPr>
          <w:p>
            <w:pPr>
              <w:widowControl/>
              <w:spacing w:line="300" w:lineRule="exact"/>
              <w:jc w:val="center"/>
              <w:textAlignment w:val="center"/>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健康</w:t>
            </w:r>
          </w:p>
          <w:p>
            <w:pPr>
              <w:widowControl/>
              <w:spacing w:line="300" w:lineRule="exact"/>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水平</w:t>
            </w:r>
          </w:p>
        </w:tc>
        <w:tc>
          <w:tcPr>
            <w:tcW w:w="370"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1</w:t>
            </w:r>
          </w:p>
        </w:tc>
        <w:tc>
          <w:tcPr>
            <w:tcW w:w="1947" w:type="pct"/>
            <w:shd w:val="clear" w:color="auto" w:fill="FFFFFF"/>
            <w:tcMar>
              <w:top w:w="15" w:type="dxa"/>
              <w:left w:w="15" w:type="dxa"/>
              <w:right w:w="15" w:type="dxa"/>
            </w:tcMar>
            <w:vAlign w:val="center"/>
          </w:tcPr>
          <w:p>
            <w:pPr>
              <w:widowControl/>
              <w:spacing w:line="300" w:lineRule="exact"/>
              <w:jc w:val="left"/>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人均预期寿命</w:t>
            </w:r>
          </w:p>
        </w:tc>
        <w:tc>
          <w:tcPr>
            <w:tcW w:w="487" w:type="pct"/>
            <w:shd w:val="clear" w:color="auto" w:fill="FFFFFF"/>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岁</w:t>
            </w:r>
          </w:p>
        </w:tc>
        <w:tc>
          <w:tcPr>
            <w:tcW w:w="491" w:type="pct"/>
            <w:shd w:val="clear" w:color="auto" w:fill="FFFFFF"/>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81.26</w:t>
            </w:r>
          </w:p>
        </w:tc>
        <w:tc>
          <w:tcPr>
            <w:tcW w:w="572"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81.5</w:t>
            </w:r>
          </w:p>
        </w:tc>
        <w:tc>
          <w:tcPr>
            <w:tcW w:w="656"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预期性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77" w:type="pct"/>
            <w:vMerge w:val="continue"/>
            <w:shd w:val="clear" w:color="auto" w:fill="FFFFFF"/>
            <w:tcMar>
              <w:top w:w="15" w:type="dxa"/>
              <w:left w:w="15" w:type="dxa"/>
              <w:right w:w="15" w:type="dxa"/>
            </w:tcMar>
            <w:vAlign w:val="center"/>
          </w:tcPr>
          <w:p>
            <w:pPr>
              <w:spacing w:line="300" w:lineRule="exact"/>
              <w:jc w:val="left"/>
              <w:rPr>
                <w:rFonts w:ascii="仿宋" w:hAnsi="仿宋" w:eastAsia="仿宋" w:cs="仿宋"/>
                <w:color w:val="000000" w:themeColor="text1"/>
                <w:sz w:val="24"/>
                <w14:textFill>
                  <w14:solidFill>
                    <w14:schemeClr w14:val="tx1"/>
                  </w14:solidFill>
                </w14:textFill>
              </w:rPr>
            </w:pPr>
          </w:p>
        </w:tc>
        <w:tc>
          <w:tcPr>
            <w:tcW w:w="370"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2</w:t>
            </w:r>
          </w:p>
        </w:tc>
        <w:tc>
          <w:tcPr>
            <w:tcW w:w="1947" w:type="pct"/>
            <w:shd w:val="clear" w:color="auto" w:fill="FFFFFF"/>
            <w:tcMar>
              <w:top w:w="15" w:type="dxa"/>
              <w:left w:w="15" w:type="dxa"/>
              <w:right w:w="15" w:type="dxa"/>
            </w:tcMar>
            <w:vAlign w:val="center"/>
          </w:tcPr>
          <w:p>
            <w:pPr>
              <w:widowControl/>
              <w:spacing w:line="300" w:lineRule="exact"/>
              <w:jc w:val="left"/>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健康预期寿命</w:t>
            </w:r>
          </w:p>
        </w:tc>
        <w:tc>
          <w:tcPr>
            <w:tcW w:w="487" w:type="pct"/>
            <w:shd w:val="clear" w:color="auto" w:fill="FFFFFF"/>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岁</w:t>
            </w:r>
          </w:p>
        </w:tc>
        <w:tc>
          <w:tcPr>
            <w:tcW w:w="491" w:type="pct"/>
            <w:shd w:val="clear" w:color="auto" w:fill="FFFFFF"/>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32"/>
                <w:szCs w:val="32"/>
                <w14:textFill>
                  <w14:solidFill>
                    <w14:schemeClr w14:val="tx1"/>
                  </w14:solidFill>
                </w14:textFill>
              </w:rPr>
              <w:t>-</w:t>
            </w:r>
          </w:p>
        </w:tc>
        <w:tc>
          <w:tcPr>
            <w:tcW w:w="572"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同比例 增加</w:t>
            </w:r>
          </w:p>
        </w:tc>
        <w:tc>
          <w:tcPr>
            <w:tcW w:w="656"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预期性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77" w:type="pct"/>
            <w:vMerge w:val="continue"/>
            <w:shd w:val="clear" w:color="auto" w:fill="FFFFFF"/>
            <w:tcMar>
              <w:top w:w="15" w:type="dxa"/>
              <w:left w:w="15" w:type="dxa"/>
              <w:right w:w="15" w:type="dxa"/>
            </w:tcMar>
            <w:vAlign w:val="center"/>
          </w:tcPr>
          <w:p>
            <w:pPr>
              <w:spacing w:line="300" w:lineRule="exact"/>
              <w:jc w:val="left"/>
              <w:rPr>
                <w:rFonts w:ascii="仿宋" w:hAnsi="仿宋" w:eastAsia="仿宋" w:cs="仿宋"/>
                <w:color w:val="000000" w:themeColor="text1"/>
                <w:sz w:val="24"/>
                <w14:textFill>
                  <w14:solidFill>
                    <w14:schemeClr w14:val="tx1"/>
                  </w14:solidFill>
                </w14:textFill>
              </w:rPr>
            </w:pPr>
          </w:p>
        </w:tc>
        <w:tc>
          <w:tcPr>
            <w:tcW w:w="370"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3</w:t>
            </w:r>
          </w:p>
        </w:tc>
        <w:tc>
          <w:tcPr>
            <w:tcW w:w="1947" w:type="pct"/>
            <w:shd w:val="clear" w:color="auto" w:fill="FFFFFF"/>
            <w:tcMar>
              <w:top w:w="15" w:type="dxa"/>
              <w:left w:w="15" w:type="dxa"/>
              <w:right w:w="15" w:type="dxa"/>
            </w:tcMar>
            <w:vAlign w:val="center"/>
          </w:tcPr>
          <w:p>
            <w:pPr>
              <w:widowControl/>
              <w:spacing w:line="300" w:lineRule="exact"/>
              <w:jc w:val="left"/>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孕产妇死亡率</w:t>
            </w:r>
          </w:p>
        </w:tc>
        <w:tc>
          <w:tcPr>
            <w:tcW w:w="487" w:type="pct"/>
            <w:shd w:val="clear" w:color="auto" w:fill="FFFFFF"/>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/10万</w:t>
            </w:r>
          </w:p>
        </w:tc>
        <w:tc>
          <w:tcPr>
            <w:tcW w:w="491" w:type="pct"/>
            <w:shd w:val="clear" w:color="auto" w:fill="FFFFFF"/>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0</w:t>
            </w:r>
          </w:p>
        </w:tc>
        <w:tc>
          <w:tcPr>
            <w:tcW w:w="572"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8.2</w:t>
            </w:r>
          </w:p>
        </w:tc>
        <w:tc>
          <w:tcPr>
            <w:tcW w:w="656" w:type="pct"/>
            <w:shd w:val="clear" w:color="auto" w:fill="FFFFFF"/>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预期性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77" w:type="pct"/>
            <w:vMerge w:val="continue"/>
            <w:shd w:val="clear" w:color="auto" w:fill="FFFFFF"/>
            <w:tcMar>
              <w:top w:w="15" w:type="dxa"/>
              <w:left w:w="15" w:type="dxa"/>
              <w:right w:w="15" w:type="dxa"/>
            </w:tcMar>
            <w:vAlign w:val="center"/>
          </w:tcPr>
          <w:p>
            <w:pPr>
              <w:spacing w:line="300" w:lineRule="exact"/>
              <w:jc w:val="left"/>
              <w:rPr>
                <w:rFonts w:ascii="仿宋" w:hAnsi="仿宋" w:eastAsia="仿宋" w:cs="仿宋"/>
                <w:color w:val="000000" w:themeColor="text1"/>
                <w:sz w:val="24"/>
                <w14:textFill>
                  <w14:solidFill>
                    <w14:schemeClr w14:val="tx1"/>
                  </w14:solidFill>
                </w14:textFill>
              </w:rPr>
            </w:pPr>
          </w:p>
        </w:tc>
        <w:tc>
          <w:tcPr>
            <w:tcW w:w="370"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4</w:t>
            </w:r>
          </w:p>
        </w:tc>
        <w:tc>
          <w:tcPr>
            <w:tcW w:w="1947" w:type="pct"/>
            <w:shd w:val="clear" w:color="auto" w:fill="FFFFFF"/>
            <w:tcMar>
              <w:top w:w="15" w:type="dxa"/>
              <w:left w:w="15" w:type="dxa"/>
              <w:right w:w="15" w:type="dxa"/>
            </w:tcMar>
            <w:vAlign w:val="center"/>
          </w:tcPr>
          <w:p>
            <w:pPr>
              <w:widowControl/>
              <w:spacing w:line="300" w:lineRule="exact"/>
              <w:jc w:val="left"/>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婴儿死亡率</w:t>
            </w:r>
          </w:p>
        </w:tc>
        <w:tc>
          <w:tcPr>
            <w:tcW w:w="487" w:type="pct"/>
            <w:shd w:val="clear" w:color="auto" w:fill="FFFFFF"/>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w:t>
            </w:r>
          </w:p>
        </w:tc>
        <w:tc>
          <w:tcPr>
            <w:tcW w:w="491" w:type="pct"/>
            <w:shd w:val="clear" w:color="auto" w:fill="FFFFFF"/>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2.48</w:t>
            </w:r>
          </w:p>
        </w:tc>
        <w:tc>
          <w:tcPr>
            <w:tcW w:w="572"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3.3</w:t>
            </w:r>
          </w:p>
        </w:tc>
        <w:tc>
          <w:tcPr>
            <w:tcW w:w="656" w:type="pct"/>
            <w:shd w:val="clear" w:color="auto" w:fill="FFFFFF"/>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预期性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77" w:type="pct"/>
            <w:vMerge w:val="continue"/>
            <w:shd w:val="clear" w:color="auto" w:fill="FFFFFF"/>
            <w:tcMar>
              <w:top w:w="15" w:type="dxa"/>
              <w:left w:w="15" w:type="dxa"/>
              <w:right w:w="15" w:type="dxa"/>
            </w:tcMar>
            <w:vAlign w:val="center"/>
          </w:tcPr>
          <w:p>
            <w:pPr>
              <w:spacing w:line="300" w:lineRule="exact"/>
              <w:jc w:val="left"/>
              <w:rPr>
                <w:rFonts w:ascii="仿宋" w:hAnsi="仿宋" w:eastAsia="仿宋" w:cs="仿宋"/>
                <w:color w:val="000000" w:themeColor="text1"/>
                <w:sz w:val="24"/>
                <w14:textFill>
                  <w14:solidFill>
                    <w14:schemeClr w14:val="tx1"/>
                  </w14:solidFill>
                </w14:textFill>
              </w:rPr>
            </w:pPr>
          </w:p>
        </w:tc>
        <w:tc>
          <w:tcPr>
            <w:tcW w:w="370"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5</w:t>
            </w:r>
          </w:p>
        </w:tc>
        <w:tc>
          <w:tcPr>
            <w:tcW w:w="1947" w:type="pct"/>
            <w:shd w:val="clear" w:color="auto" w:fill="FFFFFF"/>
            <w:tcMar>
              <w:top w:w="15" w:type="dxa"/>
              <w:left w:w="15" w:type="dxa"/>
              <w:right w:w="15" w:type="dxa"/>
            </w:tcMar>
            <w:vAlign w:val="center"/>
          </w:tcPr>
          <w:p>
            <w:pPr>
              <w:widowControl/>
              <w:spacing w:line="300" w:lineRule="exact"/>
              <w:jc w:val="left"/>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5岁以下儿童死亡率</w:t>
            </w:r>
          </w:p>
        </w:tc>
        <w:tc>
          <w:tcPr>
            <w:tcW w:w="487" w:type="pct"/>
            <w:shd w:val="clear" w:color="auto" w:fill="FFFFFF"/>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w:t>
            </w:r>
          </w:p>
        </w:tc>
        <w:tc>
          <w:tcPr>
            <w:tcW w:w="491" w:type="pct"/>
            <w:shd w:val="clear" w:color="auto" w:fill="auto"/>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3.71</w:t>
            </w:r>
          </w:p>
        </w:tc>
        <w:tc>
          <w:tcPr>
            <w:tcW w:w="572" w:type="pct"/>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4.0</w:t>
            </w:r>
          </w:p>
        </w:tc>
        <w:tc>
          <w:tcPr>
            <w:tcW w:w="656" w:type="pct"/>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预期性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77" w:type="pct"/>
            <w:vMerge w:val="continue"/>
            <w:shd w:val="clear" w:color="auto" w:fill="FFFFFF"/>
            <w:tcMar>
              <w:top w:w="15" w:type="dxa"/>
              <w:left w:w="15" w:type="dxa"/>
              <w:right w:w="15" w:type="dxa"/>
            </w:tcMar>
            <w:vAlign w:val="center"/>
          </w:tcPr>
          <w:p>
            <w:pPr>
              <w:spacing w:line="300" w:lineRule="exact"/>
              <w:jc w:val="left"/>
              <w:rPr>
                <w:rFonts w:ascii="仿宋" w:hAnsi="仿宋" w:eastAsia="仿宋" w:cs="仿宋"/>
                <w:color w:val="000000" w:themeColor="text1"/>
                <w:sz w:val="24"/>
                <w14:textFill>
                  <w14:solidFill>
                    <w14:schemeClr w14:val="tx1"/>
                  </w14:solidFill>
                </w14:textFill>
              </w:rPr>
            </w:pPr>
          </w:p>
        </w:tc>
        <w:tc>
          <w:tcPr>
            <w:tcW w:w="370"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6</w:t>
            </w:r>
          </w:p>
        </w:tc>
        <w:tc>
          <w:tcPr>
            <w:tcW w:w="1947" w:type="pct"/>
            <w:shd w:val="clear" w:color="auto" w:fill="FFFFFF"/>
            <w:tcMar>
              <w:top w:w="15" w:type="dxa"/>
              <w:left w:w="15" w:type="dxa"/>
              <w:right w:w="15" w:type="dxa"/>
            </w:tcMar>
            <w:vAlign w:val="center"/>
          </w:tcPr>
          <w:p>
            <w:pPr>
              <w:widowControl/>
              <w:spacing w:line="300" w:lineRule="exact"/>
              <w:jc w:val="left"/>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重大慢病过早死亡率</w:t>
            </w:r>
          </w:p>
        </w:tc>
        <w:tc>
          <w:tcPr>
            <w:tcW w:w="487" w:type="pct"/>
            <w:shd w:val="clear" w:color="auto" w:fill="FFFFFF"/>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w:t>
            </w:r>
          </w:p>
        </w:tc>
        <w:tc>
          <w:tcPr>
            <w:tcW w:w="491" w:type="pct"/>
            <w:shd w:val="clear" w:color="auto" w:fill="auto"/>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32"/>
                <w:szCs w:val="32"/>
                <w14:textFill>
                  <w14:solidFill>
                    <w14:schemeClr w14:val="tx1"/>
                  </w14:solidFill>
                </w14:textFill>
              </w:rPr>
              <w:t>-</w:t>
            </w:r>
          </w:p>
        </w:tc>
        <w:tc>
          <w:tcPr>
            <w:tcW w:w="572" w:type="pct"/>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14以下</w:t>
            </w:r>
          </w:p>
        </w:tc>
        <w:tc>
          <w:tcPr>
            <w:tcW w:w="656" w:type="pct"/>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预期性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77" w:type="pct"/>
            <w:vMerge w:val="restart"/>
            <w:shd w:val="clear" w:color="auto" w:fill="FFFFFF"/>
            <w:tcMar>
              <w:top w:w="15" w:type="dxa"/>
              <w:left w:w="15" w:type="dxa"/>
              <w:right w:w="15" w:type="dxa"/>
            </w:tcMar>
            <w:vAlign w:val="center"/>
          </w:tcPr>
          <w:p>
            <w:pPr>
              <w:widowControl/>
              <w:spacing w:line="300" w:lineRule="exact"/>
              <w:jc w:val="center"/>
              <w:textAlignment w:val="center"/>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健康</w:t>
            </w:r>
          </w:p>
          <w:p>
            <w:pPr>
              <w:widowControl/>
              <w:spacing w:line="300" w:lineRule="exact"/>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生活</w:t>
            </w:r>
          </w:p>
        </w:tc>
        <w:tc>
          <w:tcPr>
            <w:tcW w:w="370"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7</w:t>
            </w:r>
          </w:p>
        </w:tc>
        <w:tc>
          <w:tcPr>
            <w:tcW w:w="1947" w:type="pct"/>
            <w:shd w:val="clear" w:color="auto" w:fill="FFFFFF"/>
            <w:tcMar>
              <w:top w:w="15" w:type="dxa"/>
              <w:left w:w="15" w:type="dxa"/>
              <w:right w:w="15" w:type="dxa"/>
            </w:tcMar>
            <w:vAlign w:val="center"/>
          </w:tcPr>
          <w:p>
            <w:pPr>
              <w:widowControl/>
              <w:spacing w:line="300" w:lineRule="exact"/>
              <w:jc w:val="left"/>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居民健康素养水平</w:t>
            </w:r>
          </w:p>
        </w:tc>
        <w:tc>
          <w:tcPr>
            <w:tcW w:w="487" w:type="pct"/>
            <w:shd w:val="clear" w:color="auto" w:fill="FFFFFF"/>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w:t>
            </w:r>
          </w:p>
        </w:tc>
        <w:tc>
          <w:tcPr>
            <w:tcW w:w="491" w:type="pct"/>
            <w:shd w:val="clear" w:color="auto" w:fill="FFFFFF"/>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22</w:t>
            </w:r>
          </w:p>
        </w:tc>
        <w:tc>
          <w:tcPr>
            <w:tcW w:w="572"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30</w:t>
            </w:r>
          </w:p>
        </w:tc>
        <w:tc>
          <w:tcPr>
            <w:tcW w:w="656" w:type="pct"/>
            <w:shd w:val="clear" w:color="auto" w:fill="FFFFFF"/>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预期性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77" w:type="pct"/>
            <w:vMerge w:val="continue"/>
            <w:shd w:val="clear" w:color="auto" w:fill="FFFFFF"/>
            <w:tcMar>
              <w:top w:w="15" w:type="dxa"/>
              <w:left w:w="15" w:type="dxa"/>
              <w:right w:w="15" w:type="dxa"/>
            </w:tcMar>
            <w:vAlign w:val="center"/>
          </w:tcPr>
          <w:p>
            <w:pPr>
              <w:widowControl/>
              <w:spacing w:line="300" w:lineRule="exact"/>
              <w:jc w:val="center"/>
              <w:textAlignment w:val="center"/>
              <w:rPr>
                <w:rFonts w:ascii="仿宋" w:hAnsi="仿宋" w:eastAsia="仿宋" w:cs="仿宋"/>
                <w:color w:val="000000" w:themeColor="text1"/>
                <w:kern w:val="0"/>
                <w:sz w:val="24"/>
                <w14:textFill>
                  <w14:solidFill>
                    <w14:schemeClr w14:val="tx1"/>
                  </w14:solidFill>
                </w14:textFill>
              </w:rPr>
            </w:pPr>
          </w:p>
        </w:tc>
        <w:tc>
          <w:tcPr>
            <w:tcW w:w="370"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8</w:t>
            </w:r>
          </w:p>
        </w:tc>
        <w:tc>
          <w:tcPr>
            <w:tcW w:w="1947" w:type="pct"/>
            <w:shd w:val="clear" w:color="auto" w:fill="FFFFFF"/>
            <w:tcMar>
              <w:top w:w="15" w:type="dxa"/>
              <w:left w:w="15" w:type="dxa"/>
              <w:right w:w="15" w:type="dxa"/>
            </w:tcMar>
            <w:vAlign w:val="center"/>
          </w:tcPr>
          <w:p>
            <w:pPr>
              <w:widowControl/>
              <w:spacing w:line="300" w:lineRule="exact"/>
              <w:jc w:val="left"/>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15岁以上人群吸烟率</w:t>
            </w:r>
          </w:p>
        </w:tc>
        <w:tc>
          <w:tcPr>
            <w:tcW w:w="487" w:type="pct"/>
            <w:shd w:val="clear" w:color="auto" w:fill="FFFFFF"/>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w:t>
            </w:r>
          </w:p>
        </w:tc>
        <w:tc>
          <w:tcPr>
            <w:tcW w:w="491" w:type="pct"/>
            <w:shd w:val="clear" w:color="auto" w:fill="FFFFFF"/>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25左右</w:t>
            </w:r>
          </w:p>
        </w:tc>
        <w:tc>
          <w:tcPr>
            <w:tcW w:w="572"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22以下</w:t>
            </w:r>
          </w:p>
        </w:tc>
        <w:tc>
          <w:tcPr>
            <w:tcW w:w="656" w:type="pct"/>
            <w:shd w:val="clear" w:color="auto" w:fill="FFFFFF"/>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预期性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77" w:type="pct"/>
            <w:vMerge w:val="continue"/>
            <w:shd w:val="clear" w:color="auto" w:fill="FFFFFF"/>
            <w:tcMar>
              <w:top w:w="15" w:type="dxa"/>
              <w:left w:w="15" w:type="dxa"/>
              <w:right w:w="15" w:type="dxa"/>
            </w:tcMar>
            <w:vAlign w:val="center"/>
          </w:tcPr>
          <w:p>
            <w:pPr>
              <w:widowControl/>
              <w:spacing w:line="300" w:lineRule="exact"/>
              <w:jc w:val="center"/>
              <w:textAlignment w:val="center"/>
              <w:rPr>
                <w:rFonts w:ascii="仿宋" w:hAnsi="仿宋" w:eastAsia="仿宋" w:cs="仿宋"/>
                <w:color w:val="000000" w:themeColor="text1"/>
                <w:kern w:val="0"/>
                <w:sz w:val="24"/>
                <w14:textFill>
                  <w14:solidFill>
                    <w14:schemeClr w14:val="tx1"/>
                  </w14:solidFill>
                </w14:textFill>
              </w:rPr>
            </w:pPr>
          </w:p>
        </w:tc>
        <w:tc>
          <w:tcPr>
            <w:tcW w:w="370"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9</w:t>
            </w:r>
          </w:p>
        </w:tc>
        <w:tc>
          <w:tcPr>
            <w:tcW w:w="1947" w:type="pct"/>
            <w:shd w:val="clear" w:color="auto" w:fill="FFFFFF"/>
            <w:tcMar>
              <w:top w:w="15" w:type="dxa"/>
              <w:left w:w="15" w:type="dxa"/>
              <w:right w:w="15" w:type="dxa"/>
            </w:tcMar>
            <w:vAlign w:val="center"/>
          </w:tcPr>
          <w:p>
            <w:pPr>
              <w:widowControl/>
              <w:spacing w:line="300" w:lineRule="exact"/>
              <w:jc w:val="left"/>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国家卫生城市（含进入评审程序）数量占比</w:t>
            </w:r>
          </w:p>
        </w:tc>
        <w:tc>
          <w:tcPr>
            <w:tcW w:w="487" w:type="pct"/>
            <w:shd w:val="clear" w:color="auto" w:fill="FFFFFF"/>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w:t>
            </w:r>
          </w:p>
        </w:tc>
        <w:tc>
          <w:tcPr>
            <w:tcW w:w="491" w:type="pct"/>
            <w:shd w:val="clear" w:color="auto" w:fill="FFFFFF"/>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100</w:t>
            </w:r>
          </w:p>
        </w:tc>
        <w:tc>
          <w:tcPr>
            <w:tcW w:w="572"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100</w:t>
            </w:r>
          </w:p>
        </w:tc>
        <w:tc>
          <w:tcPr>
            <w:tcW w:w="656"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预期性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77" w:type="pct"/>
            <w:vMerge w:val="restart"/>
            <w:shd w:val="clear" w:color="auto" w:fill="FFFFFF"/>
            <w:tcMar>
              <w:top w:w="15" w:type="dxa"/>
              <w:left w:w="15" w:type="dxa"/>
              <w:right w:w="15" w:type="dxa"/>
            </w:tcMar>
            <w:vAlign w:val="center"/>
          </w:tcPr>
          <w:p>
            <w:pPr>
              <w:widowControl/>
              <w:spacing w:line="300" w:lineRule="exact"/>
              <w:jc w:val="center"/>
              <w:textAlignment w:val="center"/>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 xml:space="preserve"> </w:t>
            </w:r>
          </w:p>
          <w:p>
            <w:pPr>
              <w:spacing w:line="300" w:lineRule="exact"/>
              <w:jc w:val="center"/>
              <w:textAlignment w:val="center"/>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健康</w:t>
            </w:r>
          </w:p>
          <w:p>
            <w:pPr>
              <w:spacing w:line="300" w:lineRule="exact"/>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服务</w:t>
            </w:r>
          </w:p>
        </w:tc>
        <w:tc>
          <w:tcPr>
            <w:tcW w:w="370"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10</w:t>
            </w:r>
          </w:p>
        </w:tc>
        <w:tc>
          <w:tcPr>
            <w:tcW w:w="1947" w:type="pct"/>
            <w:shd w:val="clear" w:color="auto" w:fill="FFFFFF"/>
            <w:tcMar>
              <w:top w:w="15" w:type="dxa"/>
              <w:left w:w="15" w:type="dxa"/>
              <w:right w:w="15" w:type="dxa"/>
            </w:tcMar>
            <w:vAlign w:val="center"/>
          </w:tcPr>
          <w:p>
            <w:pPr>
              <w:widowControl/>
              <w:spacing w:line="300" w:lineRule="exact"/>
              <w:jc w:val="left"/>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每千人口医疗卫生机构床位数</w:t>
            </w:r>
          </w:p>
        </w:tc>
        <w:tc>
          <w:tcPr>
            <w:tcW w:w="487" w:type="pct"/>
            <w:shd w:val="clear" w:color="auto" w:fill="FFFFFF"/>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张</w:t>
            </w:r>
          </w:p>
        </w:tc>
        <w:tc>
          <w:tcPr>
            <w:tcW w:w="491" w:type="pct"/>
            <w:shd w:val="clear" w:color="auto" w:fill="FFFFFF"/>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5.8</w:t>
            </w:r>
          </w:p>
        </w:tc>
        <w:tc>
          <w:tcPr>
            <w:tcW w:w="572"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7</w:t>
            </w:r>
          </w:p>
        </w:tc>
        <w:tc>
          <w:tcPr>
            <w:tcW w:w="656" w:type="pct"/>
            <w:shd w:val="clear" w:color="auto" w:fill="FFFFFF"/>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预期性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77" w:type="pct"/>
            <w:vMerge w:val="continue"/>
            <w:shd w:val="clear" w:color="auto" w:fill="FFFFFF"/>
            <w:tcMar>
              <w:top w:w="15" w:type="dxa"/>
              <w:left w:w="15" w:type="dxa"/>
              <w:right w:w="15" w:type="dxa"/>
            </w:tcMar>
            <w:vAlign w:val="center"/>
          </w:tcPr>
          <w:p>
            <w:pPr>
              <w:widowControl/>
              <w:spacing w:line="300" w:lineRule="exact"/>
              <w:jc w:val="center"/>
              <w:textAlignment w:val="center"/>
              <w:rPr>
                <w:rFonts w:ascii="仿宋" w:hAnsi="仿宋" w:eastAsia="仿宋" w:cs="仿宋"/>
                <w:color w:val="000000" w:themeColor="text1"/>
                <w:kern w:val="0"/>
                <w:sz w:val="24"/>
                <w14:textFill>
                  <w14:solidFill>
                    <w14:schemeClr w14:val="tx1"/>
                  </w14:solidFill>
                </w14:textFill>
              </w:rPr>
            </w:pPr>
          </w:p>
        </w:tc>
        <w:tc>
          <w:tcPr>
            <w:tcW w:w="370"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11</w:t>
            </w:r>
          </w:p>
        </w:tc>
        <w:tc>
          <w:tcPr>
            <w:tcW w:w="1947" w:type="pct"/>
            <w:shd w:val="clear" w:color="auto" w:fill="FFFFFF"/>
            <w:tcMar>
              <w:top w:w="15" w:type="dxa"/>
              <w:left w:w="15" w:type="dxa"/>
              <w:right w:w="15" w:type="dxa"/>
            </w:tcMar>
            <w:vAlign w:val="center"/>
          </w:tcPr>
          <w:p>
            <w:pPr>
              <w:widowControl/>
              <w:spacing w:line="300" w:lineRule="exact"/>
              <w:jc w:val="left"/>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每千人口3岁以下婴幼儿托位数</w:t>
            </w:r>
          </w:p>
        </w:tc>
        <w:tc>
          <w:tcPr>
            <w:tcW w:w="487" w:type="pct"/>
            <w:shd w:val="clear" w:color="auto" w:fill="FFFFFF"/>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张</w:t>
            </w:r>
          </w:p>
        </w:tc>
        <w:tc>
          <w:tcPr>
            <w:tcW w:w="491" w:type="pct"/>
            <w:shd w:val="clear" w:color="auto" w:fill="FFFFFF"/>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32"/>
                <w:szCs w:val="32"/>
                <w14:textFill>
                  <w14:solidFill>
                    <w14:schemeClr w14:val="tx1"/>
                  </w14:solidFill>
                </w14:textFill>
              </w:rPr>
              <w:t>-</w:t>
            </w:r>
          </w:p>
        </w:tc>
        <w:tc>
          <w:tcPr>
            <w:tcW w:w="572"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Theme="minorEastAsia" w:hAnsiTheme="minorEastAsia" w:cstheme="minorEastAsia"/>
                <w:color w:val="000000" w:themeColor="text1"/>
                <w:sz w:val="24"/>
                <w14:textFill>
                  <w14:solidFill>
                    <w14:schemeClr w14:val="tx1"/>
                  </w14:solidFill>
                </w14:textFill>
              </w:rPr>
              <w:t>4.5</w:t>
            </w:r>
          </w:p>
        </w:tc>
        <w:tc>
          <w:tcPr>
            <w:tcW w:w="656" w:type="pct"/>
            <w:shd w:val="clear" w:color="auto" w:fill="FFFFFF"/>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预期性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77" w:type="pct"/>
            <w:vMerge w:val="continue"/>
            <w:shd w:val="clear" w:color="auto" w:fill="FFFFFF"/>
            <w:tcMar>
              <w:top w:w="15" w:type="dxa"/>
              <w:left w:w="15" w:type="dxa"/>
              <w:right w:w="15" w:type="dxa"/>
            </w:tcMar>
            <w:vAlign w:val="center"/>
          </w:tcPr>
          <w:p>
            <w:pPr>
              <w:widowControl/>
              <w:spacing w:line="300" w:lineRule="exact"/>
              <w:jc w:val="center"/>
              <w:textAlignment w:val="center"/>
              <w:rPr>
                <w:rFonts w:ascii="仿宋" w:hAnsi="仿宋" w:eastAsia="仿宋" w:cs="仿宋"/>
                <w:color w:val="000000" w:themeColor="text1"/>
                <w:kern w:val="0"/>
                <w:sz w:val="24"/>
                <w14:textFill>
                  <w14:solidFill>
                    <w14:schemeClr w14:val="tx1"/>
                  </w14:solidFill>
                </w14:textFill>
              </w:rPr>
            </w:pPr>
          </w:p>
        </w:tc>
        <w:tc>
          <w:tcPr>
            <w:tcW w:w="370"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12</w:t>
            </w:r>
          </w:p>
        </w:tc>
        <w:tc>
          <w:tcPr>
            <w:tcW w:w="1947" w:type="pct"/>
            <w:shd w:val="clear" w:color="auto" w:fill="FFFFFF"/>
            <w:tcMar>
              <w:top w:w="15" w:type="dxa"/>
              <w:left w:w="15" w:type="dxa"/>
              <w:right w:w="15" w:type="dxa"/>
            </w:tcMar>
            <w:vAlign w:val="center"/>
          </w:tcPr>
          <w:p>
            <w:pPr>
              <w:widowControl/>
              <w:spacing w:line="300" w:lineRule="exact"/>
              <w:jc w:val="left"/>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每千人口执业（助理）医师数</w:t>
            </w:r>
          </w:p>
        </w:tc>
        <w:tc>
          <w:tcPr>
            <w:tcW w:w="487" w:type="pct"/>
            <w:shd w:val="clear" w:color="auto" w:fill="FFFFFF"/>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人</w:t>
            </w:r>
          </w:p>
        </w:tc>
        <w:tc>
          <w:tcPr>
            <w:tcW w:w="491" w:type="pct"/>
            <w:shd w:val="clear" w:color="auto" w:fill="FFFFFF"/>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4.03</w:t>
            </w:r>
          </w:p>
        </w:tc>
        <w:tc>
          <w:tcPr>
            <w:tcW w:w="572"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4.2</w:t>
            </w:r>
          </w:p>
        </w:tc>
        <w:tc>
          <w:tcPr>
            <w:tcW w:w="656" w:type="pct"/>
            <w:shd w:val="clear" w:color="auto" w:fill="FFFFFF"/>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预期性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77" w:type="pct"/>
            <w:vMerge w:val="continue"/>
            <w:shd w:val="clear" w:color="auto" w:fill="FFFFFF"/>
            <w:tcMar>
              <w:top w:w="15" w:type="dxa"/>
              <w:left w:w="15" w:type="dxa"/>
              <w:right w:w="15" w:type="dxa"/>
            </w:tcMar>
            <w:vAlign w:val="center"/>
          </w:tcPr>
          <w:p>
            <w:pPr>
              <w:widowControl/>
              <w:spacing w:line="300" w:lineRule="exact"/>
              <w:jc w:val="center"/>
              <w:textAlignment w:val="center"/>
              <w:rPr>
                <w:rFonts w:ascii="仿宋" w:hAnsi="仿宋" w:eastAsia="仿宋" w:cs="仿宋"/>
                <w:color w:val="000000" w:themeColor="text1"/>
                <w:kern w:val="0"/>
                <w:sz w:val="24"/>
                <w14:textFill>
                  <w14:solidFill>
                    <w14:schemeClr w14:val="tx1"/>
                  </w14:solidFill>
                </w14:textFill>
              </w:rPr>
            </w:pPr>
          </w:p>
        </w:tc>
        <w:tc>
          <w:tcPr>
            <w:tcW w:w="370"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13</w:t>
            </w:r>
          </w:p>
        </w:tc>
        <w:tc>
          <w:tcPr>
            <w:tcW w:w="1947" w:type="pct"/>
            <w:shd w:val="clear" w:color="auto" w:fill="FFFFFF"/>
            <w:tcMar>
              <w:top w:w="15" w:type="dxa"/>
              <w:left w:w="15" w:type="dxa"/>
              <w:right w:w="15" w:type="dxa"/>
            </w:tcMar>
            <w:vAlign w:val="center"/>
          </w:tcPr>
          <w:p>
            <w:pPr>
              <w:widowControl/>
              <w:spacing w:line="300" w:lineRule="exact"/>
              <w:jc w:val="left"/>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每千人口中医执业类别执业（助理）医师数</w:t>
            </w:r>
          </w:p>
        </w:tc>
        <w:tc>
          <w:tcPr>
            <w:tcW w:w="487" w:type="pct"/>
            <w:shd w:val="clear" w:color="auto" w:fill="FFFFFF"/>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人</w:t>
            </w:r>
          </w:p>
        </w:tc>
        <w:tc>
          <w:tcPr>
            <w:tcW w:w="491" w:type="pct"/>
            <w:shd w:val="clear" w:color="auto" w:fill="FFFFFF"/>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1</w:t>
            </w:r>
          </w:p>
        </w:tc>
        <w:tc>
          <w:tcPr>
            <w:tcW w:w="572"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1.1</w:t>
            </w:r>
          </w:p>
        </w:tc>
        <w:tc>
          <w:tcPr>
            <w:tcW w:w="656"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预期性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77" w:type="pct"/>
            <w:vMerge w:val="continue"/>
            <w:shd w:val="clear" w:color="auto" w:fill="FFFFFF"/>
            <w:tcMar>
              <w:top w:w="15" w:type="dxa"/>
              <w:left w:w="15" w:type="dxa"/>
              <w:right w:w="15" w:type="dxa"/>
            </w:tcMar>
            <w:vAlign w:val="center"/>
          </w:tcPr>
          <w:p>
            <w:pPr>
              <w:widowControl/>
              <w:spacing w:line="300" w:lineRule="exact"/>
              <w:jc w:val="center"/>
              <w:textAlignment w:val="center"/>
              <w:rPr>
                <w:rFonts w:ascii="仿宋" w:hAnsi="仿宋" w:eastAsia="仿宋" w:cs="仿宋"/>
                <w:color w:val="000000" w:themeColor="text1"/>
                <w:kern w:val="0"/>
                <w:sz w:val="24"/>
                <w14:textFill>
                  <w14:solidFill>
                    <w14:schemeClr w14:val="tx1"/>
                  </w14:solidFill>
                </w14:textFill>
              </w:rPr>
            </w:pPr>
          </w:p>
        </w:tc>
        <w:tc>
          <w:tcPr>
            <w:tcW w:w="370"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14</w:t>
            </w:r>
          </w:p>
        </w:tc>
        <w:tc>
          <w:tcPr>
            <w:tcW w:w="1947" w:type="pct"/>
            <w:shd w:val="clear" w:color="auto" w:fill="FFFFFF"/>
            <w:tcMar>
              <w:top w:w="15" w:type="dxa"/>
              <w:left w:w="15" w:type="dxa"/>
              <w:right w:w="15" w:type="dxa"/>
            </w:tcMar>
            <w:vAlign w:val="center"/>
          </w:tcPr>
          <w:p>
            <w:pPr>
              <w:widowControl/>
              <w:spacing w:line="300" w:lineRule="exact"/>
              <w:jc w:val="left"/>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每千人口注册护士数</w:t>
            </w:r>
          </w:p>
        </w:tc>
        <w:tc>
          <w:tcPr>
            <w:tcW w:w="487" w:type="pct"/>
            <w:shd w:val="clear" w:color="auto" w:fill="FFFFFF"/>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人</w:t>
            </w:r>
          </w:p>
        </w:tc>
        <w:tc>
          <w:tcPr>
            <w:tcW w:w="491" w:type="pct"/>
            <w:shd w:val="clear" w:color="auto" w:fill="FFFFFF"/>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3.6</w:t>
            </w:r>
          </w:p>
        </w:tc>
        <w:tc>
          <w:tcPr>
            <w:tcW w:w="572"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4.05</w:t>
            </w:r>
          </w:p>
        </w:tc>
        <w:tc>
          <w:tcPr>
            <w:tcW w:w="656" w:type="pct"/>
            <w:shd w:val="clear" w:color="auto" w:fill="FFFFFF"/>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预期性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77" w:type="pct"/>
            <w:vMerge w:val="continue"/>
            <w:shd w:val="clear" w:color="auto" w:fill="FFFFFF"/>
            <w:tcMar>
              <w:top w:w="15" w:type="dxa"/>
              <w:left w:w="15" w:type="dxa"/>
              <w:right w:w="15" w:type="dxa"/>
            </w:tcMar>
            <w:vAlign w:val="center"/>
          </w:tcPr>
          <w:p>
            <w:pPr>
              <w:widowControl/>
              <w:spacing w:line="300" w:lineRule="exact"/>
              <w:jc w:val="center"/>
              <w:textAlignment w:val="center"/>
              <w:rPr>
                <w:rFonts w:ascii="仿宋" w:hAnsi="仿宋" w:eastAsia="仿宋" w:cs="仿宋"/>
                <w:color w:val="000000" w:themeColor="text1"/>
                <w:kern w:val="0"/>
                <w:sz w:val="24"/>
                <w14:textFill>
                  <w14:solidFill>
                    <w14:schemeClr w14:val="tx1"/>
                  </w14:solidFill>
                </w14:textFill>
              </w:rPr>
            </w:pPr>
          </w:p>
        </w:tc>
        <w:tc>
          <w:tcPr>
            <w:tcW w:w="370"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15</w:t>
            </w:r>
          </w:p>
        </w:tc>
        <w:tc>
          <w:tcPr>
            <w:tcW w:w="1947" w:type="pct"/>
            <w:shd w:val="clear" w:color="auto" w:fill="FFFFFF"/>
            <w:tcMar>
              <w:top w:w="15" w:type="dxa"/>
              <w:left w:w="15" w:type="dxa"/>
              <w:right w:w="15" w:type="dxa"/>
            </w:tcMar>
            <w:vAlign w:val="center"/>
          </w:tcPr>
          <w:p>
            <w:pPr>
              <w:widowControl/>
              <w:spacing w:line="300" w:lineRule="exact"/>
              <w:jc w:val="left"/>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每千人口药师（士）数</w:t>
            </w:r>
          </w:p>
        </w:tc>
        <w:tc>
          <w:tcPr>
            <w:tcW w:w="487" w:type="pct"/>
            <w:shd w:val="clear" w:color="auto" w:fill="FFFFFF"/>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人</w:t>
            </w:r>
          </w:p>
        </w:tc>
        <w:tc>
          <w:tcPr>
            <w:tcW w:w="491" w:type="pct"/>
            <w:shd w:val="clear" w:color="auto" w:fill="FFFFFF"/>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32"/>
                <w:szCs w:val="32"/>
                <w14:textFill>
                  <w14:solidFill>
                    <w14:schemeClr w14:val="tx1"/>
                  </w14:solidFill>
                </w14:textFill>
              </w:rPr>
              <w:t>-</w:t>
            </w:r>
          </w:p>
        </w:tc>
        <w:tc>
          <w:tcPr>
            <w:tcW w:w="572"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0.54</w:t>
            </w:r>
          </w:p>
        </w:tc>
        <w:tc>
          <w:tcPr>
            <w:tcW w:w="656" w:type="pct"/>
            <w:shd w:val="clear" w:color="auto" w:fill="FFFFFF"/>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预期性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77" w:type="pct"/>
            <w:vMerge w:val="continue"/>
            <w:shd w:val="clear" w:color="auto" w:fill="FFFFFF"/>
            <w:tcMar>
              <w:top w:w="15" w:type="dxa"/>
              <w:left w:w="15" w:type="dxa"/>
              <w:right w:w="15" w:type="dxa"/>
            </w:tcMar>
            <w:vAlign w:val="center"/>
          </w:tcPr>
          <w:p>
            <w:pPr>
              <w:widowControl/>
              <w:spacing w:line="300" w:lineRule="exact"/>
              <w:jc w:val="center"/>
              <w:textAlignment w:val="center"/>
              <w:rPr>
                <w:rFonts w:ascii="仿宋" w:hAnsi="仿宋" w:eastAsia="仿宋" w:cs="仿宋"/>
                <w:color w:val="000000" w:themeColor="text1"/>
                <w:kern w:val="0"/>
                <w:sz w:val="24"/>
                <w14:textFill>
                  <w14:solidFill>
                    <w14:schemeClr w14:val="tx1"/>
                  </w14:solidFill>
                </w14:textFill>
              </w:rPr>
            </w:pPr>
          </w:p>
        </w:tc>
        <w:tc>
          <w:tcPr>
            <w:tcW w:w="370"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16</w:t>
            </w:r>
          </w:p>
        </w:tc>
        <w:tc>
          <w:tcPr>
            <w:tcW w:w="1947" w:type="pct"/>
            <w:shd w:val="clear" w:color="auto" w:fill="FFFFFF"/>
            <w:tcMar>
              <w:top w:w="15" w:type="dxa"/>
              <w:left w:w="15" w:type="dxa"/>
              <w:right w:w="15" w:type="dxa"/>
            </w:tcMar>
            <w:vAlign w:val="center"/>
          </w:tcPr>
          <w:p>
            <w:pPr>
              <w:widowControl/>
              <w:spacing w:line="300" w:lineRule="exact"/>
              <w:jc w:val="left"/>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每千人口公共卫生人员数</w:t>
            </w:r>
          </w:p>
        </w:tc>
        <w:tc>
          <w:tcPr>
            <w:tcW w:w="487" w:type="pct"/>
            <w:shd w:val="clear" w:color="auto" w:fill="FFFFFF"/>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人</w:t>
            </w:r>
          </w:p>
        </w:tc>
        <w:tc>
          <w:tcPr>
            <w:tcW w:w="491" w:type="pct"/>
            <w:shd w:val="clear" w:color="auto" w:fill="FFFFFF"/>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0.69</w:t>
            </w:r>
          </w:p>
        </w:tc>
        <w:tc>
          <w:tcPr>
            <w:tcW w:w="572"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0.85</w:t>
            </w:r>
          </w:p>
        </w:tc>
        <w:tc>
          <w:tcPr>
            <w:tcW w:w="656" w:type="pct"/>
            <w:shd w:val="clear" w:color="auto" w:fill="FFFFFF"/>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预期性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77" w:type="pct"/>
            <w:vMerge w:val="continue"/>
            <w:shd w:val="clear" w:color="auto" w:fill="FFFFFF"/>
            <w:tcMar>
              <w:top w:w="15" w:type="dxa"/>
              <w:left w:w="15" w:type="dxa"/>
              <w:right w:w="15" w:type="dxa"/>
            </w:tcMar>
            <w:vAlign w:val="center"/>
          </w:tcPr>
          <w:p>
            <w:pPr>
              <w:widowControl/>
              <w:spacing w:line="300" w:lineRule="exact"/>
              <w:jc w:val="center"/>
              <w:textAlignment w:val="center"/>
              <w:rPr>
                <w:rFonts w:ascii="仿宋" w:hAnsi="仿宋" w:eastAsia="仿宋" w:cs="仿宋"/>
                <w:color w:val="000000" w:themeColor="text1"/>
                <w:kern w:val="0"/>
                <w:sz w:val="24"/>
                <w14:textFill>
                  <w14:solidFill>
                    <w14:schemeClr w14:val="tx1"/>
                  </w14:solidFill>
                </w14:textFill>
              </w:rPr>
            </w:pPr>
          </w:p>
        </w:tc>
        <w:tc>
          <w:tcPr>
            <w:tcW w:w="370"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17</w:t>
            </w:r>
          </w:p>
        </w:tc>
        <w:tc>
          <w:tcPr>
            <w:tcW w:w="1947" w:type="pct"/>
            <w:shd w:val="clear" w:color="auto" w:fill="FFFFFF"/>
            <w:tcMar>
              <w:top w:w="15" w:type="dxa"/>
              <w:left w:w="15" w:type="dxa"/>
              <w:right w:w="15" w:type="dxa"/>
            </w:tcMar>
            <w:vAlign w:val="center"/>
          </w:tcPr>
          <w:p>
            <w:pPr>
              <w:widowControl/>
              <w:spacing w:line="300" w:lineRule="exact"/>
              <w:jc w:val="left"/>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每万人口全科医生数</w:t>
            </w:r>
          </w:p>
        </w:tc>
        <w:tc>
          <w:tcPr>
            <w:tcW w:w="487" w:type="pct"/>
            <w:shd w:val="clear" w:color="auto" w:fill="FFFFFF"/>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人</w:t>
            </w:r>
          </w:p>
        </w:tc>
        <w:tc>
          <w:tcPr>
            <w:tcW w:w="491" w:type="pct"/>
            <w:shd w:val="clear" w:color="auto" w:fill="FFFFFF"/>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1.3</w:t>
            </w:r>
          </w:p>
        </w:tc>
        <w:tc>
          <w:tcPr>
            <w:tcW w:w="572"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4</w:t>
            </w:r>
          </w:p>
        </w:tc>
        <w:tc>
          <w:tcPr>
            <w:tcW w:w="656" w:type="pct"/>
            <w:shd w:val="clear" w:color="auto" w:fill="FFFFFF"/>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约束性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77" w:type="pct"/>
            <w:vMerge w:val="continue"/>
            <w:shd w:val="clear" w:color="auto" w:fill="FFFFFF"/>
            <w:tcMar>
              <w:top w:w="15" w:type="dxa"/>
              <w:left w:w="15" w:type="dxa"/>
              <w:right w:w="15" w:type="dxa"/>
            </w:tcMar>
            <w:vAlign w:val="center"/>
          </w:tcPr>
          <w:p>
            <w:pPr>
              <w:spacing w:line="300" w:lineRule="exact"/>
              <w:jc w:val="center"/>
              <w:textAlignment w:val="center"/>
              <w:rPr>
                <w:rFonts w:ascii="仿宋" w:hAnsi="仿宋" w:eastAsia="仿宋" w:cs="仿宋"/>
                <w:color w:val="000000" w:themeColor="text1"/>
                <w:sz w:val="24"/>
                <w14:textFill>
                  <w14:solidFill>
                    <w14:schemeClr w14:val="tx1"/>
                  </w14:solidFill>
                </w14:textFill>
              </w:rPr>
            </w:pPr>
          </w:p>
        </w:tc>
        <w:tc>
          <w:tcPr>
            <w:tcW w:w="370"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18</w:t>
            </w:r>
          </w:p>
        </w:tc>
        <w:tc>
          <w:tcPr>
            <w:tcW w:w="1947" w:type="pct"/>
            <w:shd w:val="clear" w:color="auto" w:fill="FFFFFF"/>
            <w:tcMar>
              <w:top w:w="15" w:type="dxa"/>
              <w:left w:w="15" w:type="dxa"/>
              <w:right w:w="15" w:type="dxa"/>
            </w:tcMar>
            <w:vAlign w:val="center"/>
          </w:tcPr>
          <w:p>
            <w:pPr>
              <w:widowControl/>
              <w:spacing w:line="300" w:lineRule="exact"/>
              <w:jc w:val="left"/>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青少年总体近视率</w:t>
            </w:r>
          </w:p>
        </w:tc>
        <w:tc>
          <w:tcPr>
            <w:tcW w:w="487" w:type="pct"/>
            <w:shd w:val="clear" w:color="auto" w:fill="FFFFFF"/>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w:t>
            </w:r>
          </w:p>
        </w:tc>
        <w:tc>
          <w:tcPr>
            <w:tcW w:w="491" w:type="pct"/>
            <w:shd w:val="clear" w:color="auto" w:fill="FFFFFF"/>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32"/>
                <w:szCs w:val="32"/>
                <w14:textFill>
                  <w14:solidFill>
                    <w14:schemeClr w14:val="tx1"/>
                  </w14:solidFill>
                </w14:textFill>
              </w:rPr>
              <w:t>-</w:t>
            </w:r>
          </w:p>
        </w:tc>
        <w:tc>
          <w:tcPr>
            <w:tcW w:w="572"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力争每年降低1个百分点</w:t>
            </w:r>
          </w:p>
        </w:tc>
        <w:tc>
          <w:tcPr>
            <w:tcW w:w="656"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约束性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77" w:type="pct"/>
            <w:vMerge w:val="continue"/>
            <w:shd w:val="clear" w:color="auto" w:fill="FFFFFF"/>
            <w:tcMar>
              <w:top w:w="15" w:type="dxa"/>
              <w:left w:w="15" w:type="dxa"/>
              <w:right w:w="15" w:type="dxa"/>
            </w:tcMar>
            <w:vAlign w:val="center"/>
          </w:tcPr>
          <w:p>
            <w:pPr>
              <w:spacing w:line="300" w:lineRule="exact"/>
              <w:jc w:val="center"/>
              <w:textAlignment w:val="center"/>
              <w:rPr>
                <w:rFonts w:ascii="仿宋" w:hAnsi="仿宋" w:eastAsia="仿宋" w:cs="仿宋"/>
                <w:color w:val="000000" w:themeColor="text1"/>
                <w:sz w:val="24"/>
                <w14:textFill>
                  <w14:solidFill>
                    <w14:schemeClr w14:val="tx1"/>
                  </w14:solidFill>
                </w14:textFill>
              </w:rPr>
            </w:pPr>
          </w:p>
        </w:tc>
        <w:tc>
          <w:tcPr>
            <w:tcW w:w="370"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19</w:t>
            </w:r>
          </w:p>
        </w:tc>
        <w:tc>
          <w:tcPr>
            <w:tcW w:w="1947" w:type="pct"/>
            <w:shd w:val="clear" w:color="auto" w:fill="FFFFFF"/>
            <w:tcMar>
              <w:top w:w="15" w:type="dxa"/>
              <w:left w:w="15" w:type="dxa"/>
              <w:right w:w="15" w:type="dxa"/>
            </w:tcMar>
            <w:vAlign w:val="center"/>
          </w:tcPr>
          <w:p>
            <w:pPr>
              <w:widowControl/>
              <w:spacing w:line="300" w:lineRule="exact"/>
              <w:jc w:val="left"/>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二级及以上综合性医院设置老年医学科的比例</w:t>
            </w:r>
          </w:p>
        </w:tc>
        <w:tc>
          <w:tcPr>
            <w:tcW w:w="487" w:type="pct"/>
            <w:shd w:val="clear" w:color="auto" w:fill="FFFFFF"/>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w:t>
            </w:r>
          </w:p>
        </w:tc>
        <w:tc>
          <w:tcPr>
            <w:tcW w:w="491" w:type="pct"/>
            <w:shd w:val="clear" w:color="auto" w:fill="FFFFFF"/>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32"/>
                <w:szCs w:val="32"/>
                <w14:textFill>
                  <w14:solidFill>
                    <w14:schemeClr w14:val="tx1"/>
                  </w14:solidFill>
                </w14:textFill>
              </w:rPr>
              <w:t>-</w:t>
            </w:r>
          </w:p>
        </w:tc>
        <w:tc>
          <w:tcPr>
            <w:tcW w:w="572"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100</w:t>
            </w:r>
          </w:p>
        </w:tc>
        <w:tc>
          <w:tcPr>
            <w:tcW w:w="656"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预期性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77" w:type="pct"/>
            <w:vMerge w:val="continue"/>
            <w:shd w:val="clear" w:color="auto" w:fill="FFFFFF"/>
            <w:tcMar>
              <w:top w:w="15" w:type="dxa"/>
              <w:left w:w="15" w:type="dxa"/>
              <w:right w:w="15" w:type="dxa"/>
            </w:tcMar>
            <w:vAlign w:val="center"/>
          </w:tcPr>
          <w:p>
            <w:pPr>
              <w:spacing w:line="300" w:lineRule="exact"/>
              <w:jc w:val="center"/>
              <w:textAlignment w:val="center"/>
              <w:rPr>
                <w:rFonts w:ascii="仿宋" w:hAnsi="仿宋" w:eastAsia="仿宋" w:cs="仿宋"/>
                <w:color w:val="000000" w:themeColor="text1"/>
                <w:sz w:val="24"/>
                <w14:textFill>
                  <w14:solidFill>
                    <w14:schemeClr w14:val="tx1"/>
                  </w14:solidFill>
                </w14:textFill>
              </w:rPr>
            </w:pPr>
          </w:p>
        </w:tc>
        <w:tc>
          <w:tcPr>
            <w:tcW w:w="370" w:type="pct"/>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20</w:t>
            </w:r>
          </w:p>
        </w:tc>
        <w:tc>
          <w:tcPr>
            <w:tcW w:w="1947" w:type="pct"/>
            <w:shd w:val="clear" w:color="auto" w:fill="auto"/>
            <w:tcMar>
              <w:top w:w="15" w:type="dxa"/>
              <w:left w:w="15" w:type="dxa"/>
              <w:right w:w="15" w:type="dxa"/>
            </w:tcMar>
            <w:vAlign w:val="center"/>
          </w:tcPr>
          <w:p>
            <w:pPr>
              <w:widowControl/>
              <w:spacing w:line="300" w:lineRule="exact"/>
              <w:jc w:val="left"/>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政府办综合医院、妇幼保健院、传染病院中医药科室设置比例</w:t>
            </w:r>
          </w:p>
        </w:tc>
        <w:tc>
          <w:tcPr>
            <w:tcW w:w="487" w:type="pct"/>
            <w:shd w:val="clear" w:color="auto" w:fill="auto"/>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w:t>
            </w:r>
          </w:p>
        </w:tc>
        <w:tc>
          <w:tcPr>
            <w:tcW w:w="491" w:type="pct"/>
            <w:shd w:val="clear" w:color="auto" w:fill="auto"/>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32"/>
                <w:szCs w:val="32"/>
                <w14:textFill>
                  <w14:solidFill>
                    <w14:schemeClr w14:val="tx1"/>
                  </w14:solidFill>
                </w14:textFill>
              </w:rPr>
              <w:t>-</w:t>
            </w:r>
          </w:p>
        </w:tc>
        <w:tc>
          <w:tcPr>
            <w:tcW w:w="572" w:type="pct"/>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100</w:t>
            </w:r>
          </w:p>
        </w:tc>
        <w:tc>
          <w:tcPr>
            <w:tcW w:w="656" w:type="pct"/>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预期性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632" w:hRule="atLeast"/>
          <w:jc w:val="center"/>
        </w:trPr>
        <w:tc>
          <w:tcPr>
            <w:tcW w:w="477" w:type="pct"/>
            <w:shd w:val="clear" w:color="auto" w:fill="FFFFFF"/>
            <w:tcMar>
              <w:top w:w="15" w:type="dxa"/>
              <w:left w:w="15" w:type="dxa"/>
              <w:right w:w="15" w:type="dxa"/>
            </w:tcMar>
            <w:vAlign w:val="center"/>
          </w:tcPr>
          <w:p>
            <w:pPr>
              <w:widowControl/>
              <w:spacing w:line="300" w:lineRule="exact"/>
              <w:jc w:val="center"/>
              <w:textAlignment w:val="center"/>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健康</w:t>
            </w:r>
          </w:p>
          <w:p>
            <w:pPr>
              <w:widowControl/>
              <w:spacing w:line="300" w:lineRule="exact"/>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保障</w:t>
            </w:r>
          </w:p>
        </w:tc>
        <w:tc>
          <w:tcPr>
            <w:tcW w:w="370"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21</w:t>
            </w:r>
          </w:p>
        </w:tc>
        <w:tc>
          <w:tcPr>
            <w:tcW w:w="1947" w:type="pct"/>
            <w:shd w:val="clear" w:color="auto" w:fill="FFFFFF"/>
            <w:tcMar>
              <w:top w:w="15" w:type="dxa"/>
              <w:left w:w="15" w:type="dxa"/>
              <w:right w:w="15" w:type="dxa"/>
            </w:tcMar>
            <w:vAlign w:val="center"/>
          </w:tcPr>
          <w:p>
            <w:pPr>
              <w:widowControl/>
              <w:spacing w:line="300" w:lineRule="exact"/>
              <w:jc w:val="left"/>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个人卫生支出占卫生总费用的比重</w:t>
            </w:r>
          </w:p>
        </w:tc>
        <w:tc>
          <w:tcPr>
            <w:tcW w:w="487" w:type="pct"/>
            <w:shd w:val="clear" w:color="auto" w:fill="FFFFFF"/>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w:t>
            </w:r>
          </w:p>
        </w:tc>
        <w:tc>
          <w:tcPr>
            <w:tcW w:w="491" w:type="pct"/>
            <w:shd w:val="clear" w:color="auto" w:fill="FFFFFF"/>
            <w:tcMar>
              <w:top w:w="15" w:type="dxa"/>
              <w:left w:w="15" w:type="dxa"/>
              <w:right w:w="15" w:type="dxa"/>
            </w:tcMar>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28</w:t>
            </w:r>
            <w:r>
              <w:rPr>
                <w:rFonts w:ascii="仿宋" w:hAnsi="仿宋" w:eastAsia="仿宋" w:cs="仿宋"/>
                <w:bCs/>
                <w:color w:val="000000" w:themeColor="text1"/>
                <w:kern w:val="0"/>
                <w:sz w:val="24"/>
                <w14:textFill>
                  <w14:solidFill>
                    <w14:schemeClr w14:val="tx1"/>
                  </w14:solidFill>
                </w14:textFill>
              </w:rPr>
              <w:t xml:space="preserve"> </w:t>
            </w:r>
          </w:p>
        </w:tc>
        <w:tc>
          <w:tcPr>
            <w:tcW w:w="572"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27左右</w:t>
            </w:r>
          </w:p>
        </w:tc>
        <w:tc>
          <w:tcPr>
            <w:tcW w:w="656" w:type="pct"/>
            <w:shd w:val="clear" w:color="auto" w:fill="FFFFFF"/>
            <w:vAlign w:val="center"/>
          </w:tcPr>
          <w:p>
            <w:pPr>
              <w:widowControl/>
              <w:spacing w:line="300" w:lineRule="exact"/>
              <w:jc w:val="center"/>
              <w:rPr>
                <w:rFonts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约束性</w:t>
            </w:r>
          </w:p>
        </w:tc>
      </w:tr>
    </w:tbl>
    <w:p>
      <w:pPr>
        <w:widowControl/>
        <w:rPr>
          <w:rFonts w:ascii="仿宋" w:hAnsi="仿宋" w:eastAsia="仿宋" w:cs="仿宋"/>
          <w:color w:val="000000" w:themeColor="text1"/>
          <w:sz w:val="32"/>
          <w:szCs w:val="32"/>
          <w:highlight w:val="yellow"/>
          <w:shd w:val="clear" w:color="auto" w:fill="FFFFFF"/>
          <w14:textFill>
            <w14:solidFill>
              <w14:schemeClr w14:val="tx1"/>
            </w14:solidFill>
          </w14:textFill>
        </w:rPr>
      </w:pPr>
    </w:p>
    <w:p>
      <w:pPr>
        <w:spacing w:line="360" w:lineRule="auto"/>
        <w:ind w:firstLine="482" w:firstLineChars="200"/>
        <w:outlineLvl w:val="0"/>
        <w:rPr>
          <w:rFonts w:ascii="宋体" w:hAnsi="宋体" w:eastAsia="宋体" w:cs="宋体"/>
          <w:b/>
          <w:bCs/>
          <w:color w:val="000000" w:themeColor="text1"/>
          <w:sz w:val="24"/>
          <w14:textFill>
            <w14:solidFill>
              <w14:schemeClr w14:val="tx1"/>
            </w14:solidFill>
          </w14:textFill>
        </w:rPr>
      </w:pPr>
      <w:bookmarkStart w:id="7" w:name="_Toc30541"/>
      <w:bookmarkStart w:id="8" w:name="_Toc22835"/>
      <w:bookmarkStart w:id="9" w:name="_Toc2905"/>
      <w:r>
        <w:rPr>
          <w:rFonts w:hint="eastAsia" w:ascii="宋体" w:hAnsi="宋体" w:eastAsia="宋体" w:cs="宋体"/>
          <w:b/>
          <w:bCs/>
          <w:color w:val="000000" w:themeColor="text1"/>
          <w:sz w:val="24"/>
          <w14:textFill>
            <w14:solidFill>
              <w14:schemeClr w14:val="tx1"/>
            </w14:solidFill>
          </w14:textFill>
        </w:rPr>
        <w:t>三、优化升级公共卫生服务体系，提高疾病风险防治能力</w:t>
      </w:r>
      <w:bookmarkEnd w:id="7"/>
      <w:bookmarkEnd w:id="8"/>
      <w:bookmarkEnd w:id="9"/>
    </w:p>
    <w:p>
      <w:pPr>
        <w:spacing w:line="360" w:lineRule="auto"/>
        <w:ind w:firstLine="480" w:firstLineChars="200"/>
        <w:outlineLvl w:val="1"/>
        <w:rPr>
          <w:rFonts w:ascii="宋体" w:hAnsi="宋体" w:eastAsia="宋体" w:cs="宋体"/>
          <w:color w:val="000000" w:themeColor="text1"/>
          <w:sz w:val="24"/>
          <w14:textFill>
            <w14:solidFill>
              <w14:schemeClr w14:val="tx1"/>
            </w14:solidFill>
          </w14:textFill>
        </w:rPr>
      </w:pPr>
      <w:bookmarkStart w:id="10" w:name="_Toc1731"/>
      <w:bookmarkStart w:id="11" w:name="_Toc9750"/>
      <w:bookmarkStart w:id="12" w:name="_Toc8555"/>
      <w:r>
        <w:rPr>
          <w:rFonts w:hint="eastAsia" w:ascii="黑体" w:hAnsi="黑体" w:eastAsia="黑体" w:cs="黑体"/>
          <w:color w:val="000000" w:themeColor="text1"/>
          <w:sz w:val="24"/>
          <w14:textFill>
            <w14:solidFill>
              <w14:schemeClr w14:val="tx1"/>
            </w14:solidFill>
          </w14:textFill>
        </w:rPr>
        <w:t>1.加强公共卫生服务体系及机制建设。</w:t>
      </w:r>
      <w:bookmarkEnd w:id="10"/>
      <w:bookmarkEnd w:id="11"/>
      <w:r>
        <w:rPr>
          <w:rFonts w:hint="eastAsia" w:ascii="宋体" w:hAnsi="宋体" w:eastAsia="宋体" w:cs="宋体"/>
          <w:color w:val="000000" w:themeColor="text1"/>
          <w:sz w:val="24"/>
          <w14:textFill>
            <w14:solidFill>
              <w14:schemeClr w14:val="tx1"/>
            </w14:solidFill>
          </w14:textFill>
        </w:rPr>
        <w:t>在政策指导下完善组织结构调整，建立健全与我区经济社会发展水平相适应的新时代公共卫生服务体系。建立稳定的公共卫生事业投入机制，加强人才队伍建设，改善疾控基础条件，完善公共卫生服务项目，强化基层公共卫生体系。按照《山东省各级疾病预防控制中心机构编制标准实施意见》中“常住人口30-40万的县（市、区）疾控中心人员编制最少不低于50名</w:t>
      </w:r>
      <w:r>
        <w:rPr>
          <w:rFonts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标准落实疾病预防控制机构编制，合理控制空编率，扩充公共卫生人才队伍，保障急需紧缺专业技术人员需求。到2025年，全面建成专业化、现代化的三级疾病预防控制网络，以区为单位空编率降至5%以下，每千人口公共卫生人员数达到0.85人。（牵头单位：区卫生健康局、区委编办、区人力资源和社会保障局、区财政局）</w:t>
      </w:r>
      <w:bookmarkEnd w:id="12"/>
    </w:p>
    <w:p>
      <w:pPr>
        <w:spacing w:line="360" w:lineRule="auto"/>
        <w:ind w:firstLine="480" w:firstLineChars="200"/>
        <w:outlineLvl w:val="1"/>
        <w:rPr>
          <w:rFonts w:ascii="宋体" w:hAnsi="宋体" w:eastAsia="宋体" w:cs="宋体"/>
          <w:color w:val="000000" w:themeColor="text1"/>
          <w:sz w:val="24"/>
          <w14:textFill>
            <w14:solidFill>
              <w14:schemeClr w14:val="tx1"/>
            </w14:solidFill>
          </w14:textFill>
        </w:rPr>
      </w:pPr>
      <w:bookmarkStart w:id="13" w:name="_Toc18435"/>
      <w:bookmarkStart w:id="14" w:name="_Toc8096"/>
      <w:bookmarkStart w:id="15" w:name="_Toc17899"/>
      <w:r>
        <w:rPr>
          <w:rFonts w:hint="eastAsia" w:ascii="黑体" w:hAnsi="黑体" w:eastAsia="黑体" w:cs="黑体"/>
          <w:color w:val="000000" w:themeColor="text1"/>
          <w:sz w:val="24"/>
          <w14:textFill>
            <w14:solidFill>
              <w14:schemeClr w14:val="tx1"/>
            </w14:solidFill>
          </w14:textFill>
        </w:rPr>
        <w:t>2.创新公共卫生服务供给方式。</w:t>
      </w:r>
      <w:bookmarkEnd w:id="13"/>
      <w:bookmarkEnd w:id="14"/>
      <w:r>
        <w:rPr>
          <w:rFonts w:hint="eastAsia" w:ascii="宋体" w:hAnsi="宋体" w:eastAsia="宋体" w:cs="宋体"/>
          <w:color w:val="000000" w:themeColor="text1"/>
          <w:sz w:val="24"/>
          <w14:textFill>
            <w14:solidFill>
              <w14:schemeClr w14:val="tx1"/>
            </w14:solidFill>
          </w14:textFill>
        </w:rPr>
        <w:t>建立公共卫生机构、综合性医院和专科医院、基层医疗卫生机构之间的公共卫生服务供给协同机制，信息共享、互联互通，推进疾病防、治、管的整体融合发展。加强公共卫生执业医师在公共卫生服务供给中的策划、引领、协同和反馈职能。完善政府购买公共卫生服务机制，鼓励社会力量参与公共卫生服务供给体系建设。优化基层医疗卫生机构传染性疾病监测哨点布局，所有社区卫生服务中心建成基层哨点，支持社区卫生服务中心配备CT和建设具备隔离条件的发热诊室。（牵头单位：区卫生健康局、区财政局）</w:t>
      </w:r>
      <w:bookmarkEnd w:id="15"/>
    </w:p>
    <w:p>
      <w:pPr>
        <w:spacing w:line="360" w:lineRule="auto"/>
        <w:ind w:firstLine="480" w:firstLineChars="200"/>
        <w:outlineLvl w:val="1"/>
        <w:rPr>
          <w:rFonts w:ascii="宋体" w:hAnsi="宋体" w:eastAsia="宋体" w:cs="宋体"/>
          <w:color w:val="000000" w:themeColor="text1"/>
          <w:sz w:val="24"/>
          <w14:textFill>
            <w14:solidFill>
              <w14:schemeClr w14:val="tx1"/>
            </w14:solidFill>
          </w14:textFill>
        </w:rPr>
      </w:pPr>
      <w:bookmarkStart w:id="16" w:name="_Toc28735"/>
      <w:bookmarkStart w:id="17" w:name="_Toc13629"/>
      <w:bookmarkStart w:id="18" w:name="_Toc16991"/>
      <w:r>
        <w:rPr>
          <w:rFonts w:hint="eastAsia" w:ascii="黑体" w:hAnsi="黑体" w:eastAsia="黑体" w:cs="黑体"/>
          <w:color w:val="000000" w:themeColor="text1"/>
          <w:sz w:val="24"/>
          <w14:textFill>
            <w14:solidFill>
              <w14:schemeClr w14:val="tx1"/>
            </w14:solidFill>
          </w14:textFill>
        </w:rPr>
        <w:t>3.完善医防融合工作机制。</w:t>
      </w:r>
      <w:bookmarkEnd w:id="16"/>
      <w:bookmarkEnd w:id="17"/>
      <w:r>
        <w:rPr>
          <w:rFonts w:hint="eastAsia" w:ascii="宋体" w:hAnsi="宋体" w:eastAsia="宋体" w:cs="宋体"/>
          <w:color w:val="000000" w:themeColor="text1"/>
          <w:sz w:val="24"/>
          <w14:textFill>
            <w14:solidFill>
              <w14:schemeClr w14:val="tx1"/>
            </w14:solidFill>
          </w14:textFill>
        </w:rPr>
        <w:t>提升综合医院公共卫生防控救治能力建设，在二级及以上综合医院和符合条件的基层医疗卫生机构设立发热和肠道门诊，加强设施设备配备，开发运用与疾病监测、症状监测相衔接的智能化预检分诊系统。实施医院、社区卫生服务中心、疾控中心“三位一体”的疾病管理全程化模式，促进整个医疗卫生体系形成系统合力。明确专业公共卫生机构和医疗机构的职责分工，建立信息共享与互联互通等协作机制。建立公共卫生机构和医疗机构协同监测机制，发挥基层哨点作用，做到早发现、早报告、早处置。进一步强化医疗机构公共卫生职责，将履行公共卫生职责作为公立医院改革的重要推进内容，二级以上公立医院原则上设置公共卫生科，其他综合性医院及相关专科医院要依托相关科室与专业公共卫生机构密切合作，承担辖区内一定的公共卫生任务和对基层医疗卫生机构的业务指导。将医生承担的公共卫生职责、履行方式、相关公共卫生知识培训纳入临床医生的入职教育和继续教育体系。建立医疗机构承担公共卫生任务的补偿机制和服务购买机制，把公共卫生服务补偿纳入政府财政支出的年度预算。“十四五”期间设立基层首席公共卫生医师，为每个社区卫生服务中心配备1-2名专兼职公共卫生医师。（牵头单位：区卫生健康局、区委编办、区人力资源和社会保障局、区财政局）</w:t>
      </w:r>
      <w:bookmarkEnd w:id="18"/>
    </w:p>
    <w:p>
      <w:pPr>
        <w:spacing w:line="360" w:lineRule="auto"/>
        <w:ind w:firstLine="480" w:firstLineChars="200"/>
        <w:outlineLvl w:val="1"/>
        <w:rPr>
          <w:rFonts w:ascii="宋体" w:hAnsi="宋体" w:eastAsia="宋体" w:cs="宋体"/>
          <w:color w:val="000000" w:themeColor="text1"/>
          <w:sz w:val="24"/>
          <w14:textFill>
            <w14:solidFill>
              <w14:schemeClr w14:val="tx1"/>
            </w14:solidFill>
          </w14:textFill>
        </w:rPr>
      </w:pPr>
      <w:bookmarkStart w:id="19" w:name="_Toc6623"/>
      <w:bookmarkStart w:id="20" w:name="_Toc14414"/>
      <w:bookmarkStart w:id="21" w:name="_Toc10969"/>
      <w:r>
        <w:rPr>
          <w:rFonts w:hint="eastAsia" w:ascii="黑体" w:hAnsi="黑体" w:eastAsia="黑体" w:cs="黑体"/>
          <w:color w:val="000000" w:themeColor="text1"/>
          <w:sz w:val="24"/>
          <w14:textFill>
            <w14:solidFill>
              <w14:schemeClr w14:val="tx1"/>
            </w14:solidFill>
          </w14:textFill>
        </w:rPr>
        <w:t>4.提升公共卫生事件应急响应及救援能力。</w:t>
      </w:r>
      <w:bookmarkEnd w:id="19"/>
      <w:bookmarkEnd w:id="20"/>
      <w:r>
        <w:rPr>
          <w:rFonts w:hint="eastAsia" w:ascii="宋体" w:hAnsi="宋体" w:eastAsia="宋体" w:cs="宋体"/>
          <w:color w:val="000000" w:themeColor="text1"/>
          <w:sz w:val="24"/>
          <w14:textFill>
            <w14:solidFill>
              <w14:schemeClr w14:val="tx1"/>
            </w14:solidFill>
          </w14:textFill>
        </w:rPr>
        <w:t>健全科学研究、疾病控制、临床治疗有效协同机制，建立分级、分层、分流的救治机制，鼓励发展大数据、人工智能、云计算等数据科学技术用于支撑突发公共卫生事件的预警、监测、溯源、防控、救治以及资源调配。依托二级及以上综合医院、中医院，补齐发热门诊、感染性疾病科、实验室能力建设短板，整体提升区域重症诊治、综合救治能力。加强重症、呼吸、麻醉、感染等公共卫生相关学科建设，提升综合救治和多学科联合诊治水平。充分发挥中医药在预防、治疗、康复等方面的特色优势，建立健全公共卫生事件应急处置中西医协作机制。合理布局院前医疗急救网络，提升院前急救能力。（牵头单位：区卫生健康局、区发展和改革局、区大数据局）</w:t>
      </w:r>
      <w:bookmarkEnd w:id="21"/>
    </w:p>
    <w:p>
      <w:pPr>
        <w:spacing w:line="360" w:lineRule="auto"/>
        <w:ind w:firstLine="480" w:firstLineChars="200"/>
        <w:outlineLvl w:val="1"/>
        <w:rPr>
          <w:rFonts w:ascii="宋体" w:hAnsi="宋体" w:eastAsia="宋体" w:cs="宋体"/>
          <w:color w:val="000000" w:themeColor="text1"/>
          <w:sz w:val="24"/>
          <w14:textFill>
            <w14:solidFill>
              <w14:schemeClr w14:val="tx1"/>
            </w14:solidFill>
          </w14:textFill>
        </w:rPr>
      </w:pPr>
      <w:bookmarkStart w:id="22" w:name="_Toc4339"/>
      <w:bookmarkStart w:id="23" w:name="_Toc30163"/>
      <w:r>
        <w:rPr>
          <w:rFonts w:hint="eastAsia" w:ascii="黑体" w:hAnsi="黑体" w:eastAsia="黑体" w:cs="黑体"/>
          <w:color w:val="000000" w:themeColor="text1"/>
          <w:sz w:val="24"/>
          <w14:textFill>
            <w14:solidFill>
              <w14:schemeClr w14:val="tx1"/>
            </w14:solidFill>
          </w14:textFill>
        </w:rPr>
        <w:t>5.加强重大传染病防控和慢性病综合防控。</w:t>
      </w:r>
      <w:bookmarkEnd w:id="22"/>
      <w:bookmarkEnd w:id="23"/>
      <w:r>
        <w:rPr>
          <w:rFonts w:hint="eastAsia" w:ascii="宋体" w:hAnsi="宋体" w:eastAsia="宋体" w:cs="宋体"/>
          <w:color w:val="000000" w:themeColor="text1"/>
          <w:sz w:val="24"/>
          <w14:textFill>
            <w14:solidFill>
              <w14:schemeClr w14:val="tx1"/>
            </w14:solidFill>
          </w14:textFill>
        </w:rPr>
        <w:t>加大新冠肺炎、艾滋病、结核病、病毒性肝炎等传染病防治力度，</w:t>
      </w:r>
      <w:r>
        <w:rPr>
          <w:rFonts w:hint="eastAsia" w:ascii="宋体" w:hAnsi="宋体" w:eastAsia="宋体" w:cs="宋体"/>
          <w:sz w:val="24"/>
        </w:rPr>
        <w:t>强化高致病性禽流感、布鲁氏菌病、狂犬病等人畜共患病源头治理</w:t>
      </w:r>
      <w:r>
        <w:rPr>
          <w:rFonts w:hint="eastAsia" w:ascii="宋体" w:hAnsi="宋体" w:eastAsia="宋体" w:cs="宋体"/>
          <w:color w:val="000000" w:themeColor="text1"/>
          <w:sz w:val="24"/>
          <w14:textFill>
            <w14:solidFill>
              <w14:schemeClr w14:val="tx1"/>
            </w14:solidFill>
          </w14:textFill>
        </w:rPr>
        <w:t>，甲、乙类传染病发病率保持全国较低水平。加强免疫预防工作，进一步完善预防接种服务体系建设，维持高水平人群免疫屏障，适龄儿童扩大国家免疫规划疫苗全程接种率保持在90%以上。推进慢性病综合防控示范区建设，规范实施重点慢性病危险因素干预，实施重点慢性病早诊早治，健全完善重点慢性病筛查与早诊早治网络，推动开展适龄人口高危人群早期筛查与随访，提高患者早期发现水平。加强高血压、糖尿病规范管理和控制，探索开展血脂异常管理。逐步将癌症、心脑血管疾病等重大慢性病早诊早治适宜技术纳入诊疗常规。实施重点慢性病干预计划，充分发挥医保支持作用，强化心血管疾病、糖尿病、慢阻肺及癌症等慢性疾病的防治，实施“三减控三高”项目（减盐、减糖、减油，控制高血压、高血糖、高血脂），引导餐饮单位积极采取控制油、盐、糖使用量的措施，引导食品生产加工企业及餐饮单位落实“三减”措施，强化重点人群、高危人群和患者生活方式干预。到2025年，重大慢病过早死亡率降低到14%以下。（牵头单位：区卫生健康局、区各职能部门）</w:t>
      </w:r>
    </w:p>
    <w:p>
      <w:pPr>
        <w:spacing w:line="360" w:lineRule="auto"/>
        <w:ind w:firstLine="480" w:firstLineChars="200"/>
        <w:outlineLvl w:val="1"/>
        <w:rPr>
          <w:rFonts w:ascii="宋体" w:hAnsi="宋体" w:eastAsia="宋体" w:cs="宋体"/>
          <w:color w:val="000000" w:themeColor="text1"/>
          <w:sz w:val="24"/>
          <w14:textFill>
            <w14:solidFill>
              <w14:schemeClr w14:val="tx1"/>
            </w14:solidFill>
          </w14:textFill>
        </w:rPr>
      </w:pPr>
      <w:bookmarkStart w:id="24" w:name="_Toc15500"/>
      <w:bookmarkStart w:id="25" w:name="_Toc13385"/>
      <w:r>
        <w:rPr>
          <w:rFonts w:hint="eastAsia" w:ascii="黑体" w:hAnsi="黑体" w:eastAsia="黑体" w:cs="黑体"/>
          <w:color w:val="000000" w:themeColor="text1"/>
          <w:sz w:val="24"/>
          <w14:textFill>
            <w14:solidFill>
              <w14:schemeClr w14:val="tx1"/>
            </w14:solidFill>
          </w14:textFill>
        </w:rPr>
        <w:t>6.加强精神卫生和心理健康服务能力建设。</w:t>
      </w:r>
      <w:bookmarkEnd w:id="24"/>
      <w:bookmarkEnd w:id="25"/>
      <w:r>
        <w:rPr>
          <w:rFonts w:hint="eastAsia" w:ascii="宋体" w:hAnsi="宋体" w:eastAsia="宋体" w:cs="宋体"/>
          <w:color w:val="000000" w:themeColor="text1"/>
          <w:sz w:val="24"/>
          <w14:textFill>
            <w14:solidFill>
              <w14:schemeClr w14:val="tx1"/>
            </w14:solidFill>
          </w14:textFill>
        </w:rPr>
        <w:t>完善社会心理服务体系，建立健全党政领导、部门协同、社会参与的工作机制，逐步搭建社会心理服务平台，开展心理健康评估及常见精神障碍早期筛查，强化重点人群心理干预和心理援助工作，提升服务能力，强化心理救援队伍建设，健全危机干预机制，加强严重精神障碍患者服务管理，开展焦虑、抑郁等常见精神障碍早期筛查与干预，逐步将心理健康筛查纳入升学、入职体检评价体系，全面推进精神障碍社区康复服务，促进精神障碍患者回归社会。到2025年，严重精神障碍患者应收尽收、应管尽管、应治尽治，管理率、治疗率力争达到90%以上，抑郁症治疗率大幅提高。（牵头单位：区卫生健康局、区委政法委、区发展和改革局、区教体局、区总工会、区大数据局）</w:t>
      </w:r>
    </w:p>
    <w:p>
      <w:pPr>
        <w:jc w:val="center"/>
        <w:rPr>
          <w:rFonts w:ascii="宋体" w:hAnsi="宋体" w:eastAsia="宋体" w:cs="宋体"/>
          <w:b/>
          <w:bCs/>
          <w:color w:val="000000" w:themeColor="text1"/>
          <w:sz w:val="24"/>
          <w14:textFill>
            <w14:solidFill>
              <w14:schemeClr w14:val="tx1"/>
            </w14:solidFill>
          </w14:textFill>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60" w:lineRule="auto"/>
              <w:jc w:val="center"/>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专栏</w:t>
            </w:r>
            <w:r>
              <w:rPr>
                <w:rFonts w:ascii="宋体" w:hAnsi="宋体" w:eastAsia="宋体" w:cs="宋体"/>
                <w:b/>
                <w:bCs/>
                <w:color w:val="000000" w:themeColor="text1"/>
                <w:sz w:val="24"/>
                <w14:textFill>
                  <w14:solidFill>
                    <w14:schemeClr w14:val="tx1"/>
                  </w14:solidFill>
                </w14:textFill>
              </w:rPr>
              <w:t>1</w:t>
            </w:r>
            <w:r>
              <w:rPr>
                <w:rFonts w:hint="eastAsia" w:ascii="宋体" w:hAnsi="宋体" w:eastAsia="宋体" w:cs="宋体"/>
                <w:b/>
                <w:bCs/>
                <w:color w:val="000000" w:themeColor="text1"/>
                <w:sz w:val="24"/>
                <w14:textFill>
                  <w14:solidFill>
                    <w14:schemeClr w14:val="tx1"/>
                  </w14:solidFill>
                </w14:textFill>
              </w:rPr>
              <w:t xml:space="preserve"> 公共卫生体系建设项目</w:t>
            </w:r>
          </w:p>
          <w:p>
            <w:pPr>
              <w:spacing w:line="360" w:lineRule="auto"/>
              <w:ind w:firstLine="482"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创新</w:t>
            </w:r>
            <w:r>
              <w:rPr>
                <w:rFonts w:ascii="宋体" w:hAnsi="宋体" w:eastAsia="宋体" w:cs="宋体"/>
                <w:b/>
                <w:bCs/>
                <w:color w:val="000000" w:themeColor="text1"/>
                <w:sz w:val="24"/>
                <w14:textFill>
                  <w14:solidFill>
                    <w14:schemeClr w14:val="tx1"/>
                  </w14:solidFill>
                </w14:textFill>
              </w:rPr>
              <w:t>疾病预防控制模式</w:t>
            </w:r>
            <w:r>
              <w:rPr>
                <w:rFonts w:hint="eastAsia" w:ascii="宋体" w:hAnsi="宋体" w:eastAsia="宋体" w:cs="宋体"/>
                <w:b/>
                <w:bCs/>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推行区域一体化疾病预防控制模式</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在</w:t>
            </w:r>
            <w:r>
              <w:rPr>
                <w:rFonts w:hint="eastAsia" w:ascii="宋体" w:hAnsi="宋体" w:eastAsia="宋体" w:cs="宋体"/>
                <w:color w:val="000000" w:themeColor="text1"/>
                <w:sz w:val="24"/>
                <w14:textFill>
                  <w14:solidFill>
                    <w14:schemeClr w14:val="tx1"/>
                  </w14:solidFill>
                </w14:textFill>
              </w:rPr>
              <w:t>辖区</w:t>
            </w:r>
            <w:r>
              <w:rPr>
                <w:rFonts w:ascii="宋体" w:hAnsi="宋体" w:eastAsia="宋体" w:cs="宋体"/>
                <w:color w:val="000000" w:themeColor="text1"/>
                <w:sz w:val="24"/>
                <w14:textFill>
                  <w14:solidFill>
                    <w14:schemeClr w14:val="tx1"/>
                  </w14:solidFill>
                </w14:textFill>
              </w:rPr>
              <w:t>医院内</w:t>
            </w:r>
            <w:r>
              <w:rPr>
                <w:rFonts w:hint="eastAsia" w:ascii="宋体" w:hAnsi="宋体" w:eastAsia="宋体" w:cs="宋体"/>
                <w:color w:val="000000" w:themeColor="text1"/>
                <w:sz w:val="24"/>
                <w14:textFill>
                  <w14:solidFill>
                    <w14:schemeClr w14:val="tx1"/>
                  </w14:solidFill>
                </w14:textFill>
              </w:rPr>
              <w:t>设</w:t>
            </w:r>
            <w:r>
              <w:rPr>
                <w:rFonts w:ascii="宋体" w:hAnsi="宋体" w:eastAsia="宋体" w:cs="宋体"/>
                <w:color w:val="000000" w:themeColor="text1"/>
                <w:sz w:val="24"/>
                <w14:textFill>
                  <w14:solidFill>
                    <w14:schemeClr w14:val="tx1"/>
                  </w14:solidFill>
                </w14:textFill>
              </w:rPr>
              <w:t>疾病预防控制科</w:t>
            </w:r>
            <w:r>
              <w:rPr>
                <w:rFonts w:hint="eastAsia" w:ascii="宋体" w:hAnsi="宋体" w:eastAsia="宋体" w:cs="宋体"/>
                <w:color w:val="000000" w:themeColor="text1"/>
                <w:sz w:val="24"/>
                <w14:textFill>
                  <w14:solidFill>
                    <w14:schemeClr w14:val="tx1"/>
                  </w14:solidFill>
                </w14:textFill>
              </w:rPr>
              <w:t>，建立医疗机构承担公共卫生任务的补偿机制和服务购买机制，由辖区</w:t>
            </w:r>
            <w:r>
              <w:rPr>
                <w:rFonts w:ascii="宋体" w:hAnsi="宋体" w:eastAsia="宋体" w:cs="宋体"/>
                <w:color w:val="000000" w:themeColor="text1"/>
                <w:sz w:val="24"/>
                <w14:textFill>
                  <w14:solidFill>
                    <w14:schemeClr w14:val="tx1"/>
                  </w14:solidFill>
                </w14:textFill>
              </w:rPr>
              <w:t>疾病预防控制中心</w:t>
            </w:r>
            <w:r>
              <w:rPr>
                <w:rFonts w:hint="eastAsia" w:ascii="宋体" w:hAnsi="宋体" w:eastAsia="宋体" w:cs="宋体"/>
                <w:color w:val="000000" w:themeColor="text1"/>
                <w:sz w:val="24"/>
                <w14:textFill>
                  <w14:solidFill>
                    <w14:schemeClr w14:val="tx1"/>
                  </w14:solidFill>
                </w14:textFill>
              </w:rPr>
              <w:t>负责业务指导，</w:t>
            </w:r>
            <w:r>
              <w:rPr>
                <w:rFonts w:ascii="宋体" w:hAnsi="宋体" w:eastAsia="宋体" w:cs="宋体"/>
                <w:color w:val="000000" w:themeColor="text1"/>
                <w:sz w:val="24"/>
                <w14:textFill>
                  <w14:solidFill>
                    <w14:schemeClr w14:val="tx1"/>
                  </w14:solidFill>
                </w14:textFill>
              </w:rPr>
              <w:t>把人群健康体检、疾病监测、</w:t>
            </w:r>
            <w:r>
              <w:rPr>
                <w:rFonts w:hint="eastAsia" w:ascii="宋体" w:hAnsi="宋体" w:eastAsia="宋体" w:cs="宋体"/>
                <w:color w:val="000000" w:themeColor="text1"/>
                <w:sz w:val="24"/>
                <w14:textFill>
                  <w14:solidFill>
                    <w14:schemeClr w14:val="tx1"/>
                  </w14:solidFill>
                </w14:textFill>
              </w:rPr>
              <w:t>危险</w:t>
            </w:r>
            <w:r>
              <w:rPr>
                <w:rFonts w:ascii="宋体" w:hAnsi="宋体" w:eastAsia="宋体" w:cs="宋体"/>
                <w:color w:val="000000" w:themeColor="text1"/>
                <w:sz w:val="24"/>
                <w14:textFill>
                  <w14:solidFill>
                    <w14:schemeClr w14:val="tx1"/>
                  </w14:solidFill>
                </w14:textFill>
              </w:rPr>
              <w:t>因素监测、健康</w:t>
            </w:r>
            <w:r>
              <w:rPr>
                <w:rFonts w:hint="eastAsia" w:ascii="宋体" w:hAnsi="宋体" w:eastAsia="宋体" w:cs="宋体"/>
                <w:color w:val="000000" w:themeColor="text1"/>
                <w:sz w:val="24"/>
                <w14:textFill>
                  <w14:solidFill>
                    <w14:schemeClr w14:val="tx1"/>
                  </w14:solidFill>
                </w14:textFill>
              </w:rPr>
              <w:t>教育</w:t>
            </w:r>
            <w:r>
              <w:rPr>
                <w:rFonts w:ascii="宋体" w:hAnsi="宋体" w:eastAsia="宋体" w:cs="宋体"/>
                <w:color w:val="000000" w:themeColor="text1"/>
                <w:sz w:val="24"/>
                <w14:textFill>
                  <w14:solidFill>
                    <w14:schemeClr w14:val="tx1"/>
                  </w14:solidFill>
                </w14:textFill>
              </w:rPr>
              <w:t>、传染病监测与应对一体化</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解决疾病预防控制机构人员编制不足和</w:t>
            </w:r>
            <w:r>
              <w:rPr>
                <w:rFonts w:hint="eastAsia" w:ascii="宋体" w:hAnsi="宋体" w:eastAsia="宋体" w:cs="宋体"/>
                <w:color w:val="000000" w:themeColor="text1"/>
                <w:sz w:val="24"/>
                <w14:textFill>
                  <w14:solidFill>
                    <w14:schemeClr w14:val="tx1"/>
                  </w14:solidFill>
                </w14:textFill>
              </w:rPr>
              <w:t>医防协同不顺畅</w:t>
            </w:r>
            <w:r>
              <w:rPr>
                <w:rFonts w:ascii="宋体" w:hAnsi="宋体" w:eastAsia="宋体" w:cs="宋体"/>
                <w:color w:val="000000" w:themeColor="text1"/>
                <w:sz w:val="24"/>
                <w14:textFill>
                  <w14:solidFill>
                    <w14:schemeClr w14:val="tx1"/>
                  </w14:solidFill>
                </w14:textFill>
              </w:rPr>
              <w:t>的问题</w:t>
            </w:r>
            <w:r>
              <w:rPr>
                <w:rFonts w:hint="eastAsia" w:ascii="宋体" w:hAnsi="宋体" w:eastAsia="宋体" w:cs="宋体"/>
                <w:color w:val="000000" w:themeColor="text1"/>
                <w:sz w:val="24"/>
                <w14:textFill>
                  <w14:solidFill>
                    <w14:schemeClr w14:val="tx1"/>
                  </w14:solidFill>
                </w14:textFill>
              </w:rPr>
              <w:t>。</w:t>
            </w:r>
          </w:p>
        </w:tc>
      </w:tr>
    </w:tbl>
    <w:p>
      <w:pPr>
        <w:ind w:firstLine="482" w:firstLineChars="200"/>
        <w:rPr>
          <w:rFonts w:ascii="宋体" w:hAnsi="宋体" w:eastAsia="宋体"/>
          <w:b/>
          <w:bCs/>
          <w:color w:val="000000" w:themeColor="text1"/>
          <w:sz w:val="24"/>
          <w:szCs w:val="28"/>
          <w14:textFill>
            <w14:solidFill>
              <w14:schemeClr w14:val="tx1"/>
            </w14:solidFill>
          </w14:textFill>
        </w:rPr>
      </w:pPr>
    </w:p>
    <w:p>
      <w:pPr>
        <w:spacing w:line="360" w:lineRule="auto"/>
        <w:ind w:firstLine="482" w:firstLineChars="200"/>
        <w:outlineLvl w:val="0"/>
        <w:rPr>
          <w:rFonts w:ascii="宋体" w:hAnsi="宋体" w:eastAsia="宋体"/>
          <w:b/>
          <w:bCs/>
          <w:color w:val="000000" w:themeColor="text1"/>
          <w:sz w:val="24"/>
          <w:szCs w:val="28"/>
          <w14:textFill>
            <w14:solidFill>
              <w14:schemeClr w14:val="tx1"/>
            </w14:solidFill>
          </w14:textFill>
        </w:rPr>
      </w:pPr>
      <w:bookmarkStart w:id="26" w:name="_Toc305"/>
      <w:bookmarkStart w:id="27" w:name="_Toc29256"/>
      <w:r>
        <w:rPr>
          <w:rFonts w:hint="eastAsia" w:ascii="宋体" w:hAnsi="宋体" w:eastAsia="宋体"/>
          <w:b/>
          <w:bCs/>
          <w:color w:val="000000" w:themeColor="text1"/>
          <w:sz w:val="24"/>
          <w:szCs w:val="28"/>
          <w14:textFill>
            <w14:solidFill>
              <w14:schemeClr w14:val="tx1"/>
            </w14:solidFill>
          </w14:textFill>
        </w:rPr>
        <w:t>四、全面推进健康莱山建设</w:t>
      </w:r>
      <w:bookmarkEnd w:id="26"/>
      <w:bookmarkEnd w:id="27"/>
    </w:p>
    <w:p>
      <w:pPr>
        <w:spacing w:line="360" w:lineRule="auto"/>
        <w:ind w:firstLine="480" w:firstLineChars="200"/>
        <w:outlineLvl w:val="1"/>
        <w:rPr>
          <w:rFonts w:ascii="宋体" w:hAnsi="宋体" w:eastAsia="宋体" w:cs="宋体"/>
          <w:color w:val="000000" w:themeColor="text1"/>
          <w:sz w:val="24"/>
          <w14:textFill>
            <w14:solidFill>
              <w14:schemeClr w14:val="tx1"/>
            </w14:solidFill>
          </w14:textFill>
        </w:rPr>
      </w:pPr>
      <w:bookmarkStart w:id="28" w:name="_Toc12069"/>
      <w:bookmarkStart w:id="29" w:name="_Toc28887"/>
      <w:r>
        <w:rPr>
          <w:rFonts w:hint="eastAsia" w:ascii="黑体" w:hAnsi="黑体" w:eastAsia="黑体" w:cs="黑体"/>
          <w:color w:val="000000" w:themeColor="text1"/>
          <w:sz w:val="24"/>
          <w14:textFill>
            <w14:solidFill>
              <w14:schemeClr w14:val="tx1"/>
            </w14:solidFill>
          </w14:textFill>
        </w:rPr>
        <w:t>7.推动将健康融入所有政策。</w:t>
      </w:r>
      <w:bookmarkEnd w:id="28"/>
      <w:bookmarkEnd w:id="29"/>
      <w:r>
        <w:rPr>
          <w:rFonts w:ascii="宋体" w:hAnsi="宋体" w:eastAsia="宋体" w:cs="宋体"/>
          <w:color w:val="000000" w:themeColor="text1"/>
          <w:sz w:val="24"/>
          <w14:textFill>
            <w14:solidFill>
              <w14:schemeClr w14:val="tx1"/>
            </w14:solidFill>
          </w14:textFill>
        </w:rPr>
        <w:t>落实全民健康服务体系共治制度</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激励民众深入参与健康服务体系治理</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提升民众对“健康权”的认知</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鼓励民众从食品、职业、环境、行为方式等全面参与健康促进活动</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强调健康活动</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主人翁</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精神</w:t>
      </w:r>
      <w:r>
        <w:rPr>
          <w:rFonts w:hint="eastAsia" w:ascii="宋体" w:hAnsi="宋体" w:eastAsia="宋体" w:cs="宋体"/>
          <w:color w:val="000000" w:themeColor="text1"/>
          <w:sz w:val="24"/>
          <w14:textFill>
            <w14:solidFill>
              <w14:schemeClr w14:val="tx1"/>
            </w14:solidFill>
          </w14:textFill>
        </w:rPr>
        <w:t>，使</w:t>
      </w:r>
      <w:r>
        <w:rPr>
          <w:rFonts w:ascii="宋体" w:hAnsi="宋体" w:eastAsia="宋体" w:cs="宋体"/>
          <w:color w:val="000000" w:themeColor="text1"/>
          <w:sz w:val="24"/>
          <w14:textFill>
            <w14:solidFill>
              <w14:schemeClr w14:val="tx1"/>
            </w14:solidFill>
          </w14:textFill>
        </w:rPr>
        <w:t>健康氛围营造、健康活动策划、健康活动制定、健康活动组织、健康活动</w:t>
      </w:r>
      <w:r>
        <w:rPr>
          <w:rFonts w:hint="eastAsia" w:ascii="宋体" w:hAnsi="宋体" w:eastAsia="宋体" w:cs="宋体"/>
          <w:color w:val="000000" w:themeColor="text1"/>
          <w:sz w:val="24"/>
          <w14:textFill>
            <w14:solidFill>
              <w14:schemeClr w14:val="tx1"/>
            </w14:solidFill>
          </w14:textFill>
        </w:rPr>
        <w:t>效果</w:t>
      </w:r>
      <w:r>
        <w:rPr>
          <w:rFonts w:ascii="宋体" w:hAnsi="宋体" w:eastAsia="宋体" w:cs="宋体"/>
          <w:color w:val="000000" w:themeColor="text1"/>
          <w:sz w:val="24"/>
          <w14:textFill>
            <w14:solidFill>
              <w14:schemeClr w14:val="tx1"/>
            </w14:solidFill>
          </w14:textFill>
        </w:rPr>
        <w:t>评价</w:t>
      </w:r>
      <w:r>
        <w:rPr>
          <w:rFonts w:hint="eastAsia" w:ascii="宋体" w:hAnsi="宋体" w:eastAsia="宋体" w:cs="宋体"/>
          <w:color w:val="000000" w:themeColor="text1"/>
          <w:sz w:val="24"/>
          <w14:textFill>
            <w14:solidFill>
              <w14:schemeClr w14:val="tx1"/>
            </w14:solidFill>
          </w14:textFill>
        </w:rPr>
        <w:t>等</w:t>
      </w:r>
      <w:r>
        <w:rPr>
          <w:rFonts w:ascii="宋体" w:hAnsi="宋体" w:eastAsia="宋体" w:cs="宋体"/>
          <w:color w:val="000000" w:themeColor="text1"/>
          <w:sz w:val="24"/>
          <w14:textFill>
            <w14:solidFill>
              <w14:schemeClr w14:val="tx1"/>
            </w14:solidFill>
          </w14:textFill>
        </w:rPr>
        <w:t>均不脱离民众</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全面提升民众参与健康政策制定的健康权利素养。</w:t>
      </w:r>
      <w:r>
        <w:rPr>
          <w:rFonts w:hint="eastAsia" w:ascii="宋体" w:hAnsi="宋体" w:eastAsia="宋体" w:cs="宋体"/>
          <w:color w:val="000000" w:themeColor="text1"/>
          <w:sz w:val="24"/>
          <w14:textFill>
            <w14:solidFill>
              <w14:schemeClr w14:val="tx1"/>
            </w14:solidFill>
          </w14:textFill>
        </w:rPr>
        <w:t>通过</w:t>
      </w:r>
      <w:r>
        <w:rPr>
          <w:rFonts w:ascii="宋体" w:hAnsi="宋体" w:eastAsia="宋体" w:cs="宋体"/>
          <w:color w:val="000000" w:themeColor="text1"/>
          <w:sz w:val="24"/>
          <w14:textFill>
            <w14:solidFill>
              <w14:schemeClr w14:val="tx1"/>
            </w14:solidFill>
          </w14:textFill>
        </w:rPr>
        <w:t>建设人工智能平台形成社区居民群体健康数据报告并智能反馈</w:t>
      </w:r>
      <w:r>
        <w:rPr>
          <w:rFonts w:hint="eastAsia" w:ascii="宋体" w:hAnsi="宋体" w:eastAsia="宋体" w:cs="宋体"/>
          <w:color w:val="000000" w:themeColor="text1"/>
          <w:sz w:val="24"/>
          <w14:textFill>
            <w14:solidFill>
              <w14:schemeClr w14:val="tx1"/>
            </w14:solidFill>
          </w14:textFill>
        </w:rPr>
        <w:t>给</w:t>
      </w:r>
      <w:r>
        <w:rPr>
          <w:rFonts w:ascii="宋体" w:hAnsi="宋体" w:eastAsia="宋体" w:cs="宋体"/>
          <w:color w:val="000000" w:themeColor="text1"/>
          <w:sz w:val="24"/>
          <w14:textFill>
            <w14:solidFill>
              <w14:schemeClr w14:val="tx1"/>
            </w14:solidFill>
          </w14:textFill>
        </w:rPr>
        <w:t>社区居民</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引导居民参与社区健康共建共治活动</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并基于社区居民健康共建共治的健康成效赋予经济性的奖励。切实做到健康数据共享、健康知识共享、健康成果共享和健康经济共享。</w:t>
      </w:r>
      <w:r>
        <w:rPr>
          <w:rFonts w:hint="eastAsia" w:ascii="宋体" w:hAnsi="宋体" w:eastAsia="宋体" w:cs="宋体"/>
          <w:color w:val="000000" w:themeColor="text1"/>
          <w:sz w:val="24"/>
          <w14:textFill>
            <w14:solidFill>
              <w14:schemeClr w14:val="tx1"/>
            </w14:solidFill>
          </w14:textFill>
        </w:rPr>
        <w:t>（牵头单位：区卫生健康局、区各职能部门、各街道园区）</w:t>
      </w:r>
    </w:p>
    <w:p>
      <w:pPr>
        <w:spacing w:line="360" w:lineRule="auto"/>
        <w:ind w:firstLine="480" w:firstLineChars="200"/>
        <w:outlineLvl w:val="1"/>
        <w:rPr>
          <w:rFonts w:ascii="宋体" w:hAnsi="宋体" w:eastAsia="宋体" w:cs="宋体"/>
          <w:color w:val="000000" w:themeColor="text1"/>
          <w:sz w:val="24"/>
          <w14:textFill>
            <w14:solidFill>
              <w14:schemeClr w14:val="tx1"/>
            </w14:solidFill>
          </w14:textFill>
        </w:rPr>
      </w:pPr>
      <w:bookmarkStart w:id="30" w:name="_Toc31501"/>
      <w:bookmarkStart w:id="31" w:name="_Toc7542"/>
      <w:r>
        <w:rPr>
          <w:rFonts w:hint="eastAsia" w:ascii="黑体" w:hAnsi="黑体" w:eastAsia="黑体" w:cs="黑体"/>
          <w:color w:val="000000" w:themeColor="text1"/>
          <w:sz w:val="24"/>
          <w14:textFill>
            <w14:solidFill>
              <w14:schemeClr w14:val="tx1"/>
            </w14:solidFill>
          </w14:textFill>
        </w:rPr>
        <w:t>8.普及健康生活方式。</w:t>
      </w:r>
      <w:bookmarkEnd w:id="30"/>
      <w:bookmarkEnd w:id="31"/>
      <w:r>
        <w:rPr>
          <w:rFonts w:hint="eastAsia" w:ascii="宋体" w:hAnsi="宋体" w:eastAsia="宋体" w:cs="宋体"/>
          <w:color w:val="000000" w:themeColor="text1"/>
          <w:sz w:val="24"/>
          <w14:textFill>
            <w14:solidFill>
              <w14:schemeClr w14:val="tx1"/>
            </w14:solidFill>
          </w14:textFill>
        </w:rPr>
        <w:t>牢固</w:t>
      </w:r>
      <w:r>
        <w:rPr>
          <w:rFonts w:ascii="宋体" w:hAnsi="宋体" w:eastAsia="宋体" w:cs="宋体"/>
          <w:color w:val="000000" w:themeColor="text1"/>
          <w:sz w:val="24"/>
          <w14:textFill>
            <w14:solidFill>
              <w14:schemeClr w14:val="tx1"/>
            </w14:solidFill>
          </w14:textFill>
        </w:rPr>
        <w:t>树立“</w:t>
      </w:r>
      <w:r>
        <w:rPr>
          <w:rFonts w:hint="eastAsia" w:ascii="宋体" w:hAnsi="宋体" w:eastAsia="宋体" w:cs="宋体"/>
          <w:color w:val="000000" w:themeColor="text1"/>
          <w:sz w:val="24"/>
          <w14:textFill>
            <w14:solidFill>
              <w14:schemeClr w14:val="tx1"/>
            </w14:solidFill>
          </w14:textFill>
        </w:rPr>
        <w:t>每个人</w:t>
      </w:r>
      <w:r>
        <w:rPr>
          <w:rFonts w:ascii="宋体" w:hAnsi="宋体" w:eastAsia="宋体" w:cs="宋体"/>
          <w:color w:val="000000" w:themeColor="text1"/>
          <w:sz w:val="24"/>
          <w14:textFill>
            <w14:solidFill>
              <w14:schemeClr w14:val="tx1"/>
            </w14:solidFill>
          </w14:textFill>
        </w:rPr>
        <w:t>是自己健康第一责任</w:t>
      </w:r>
      <w:r>
        <w:rPr>
          <w:rFonts w:hint="eastAsia" w:ascii="宋体" w:hAnsi="宋体" w:eastAsia="宋体" w:cs="宋体"/>
          <w:color w:val="000000" w:themeColor="text1"/>
          <w:sz w:val="24"/>
          <w14:textFill>
            <w14:solidFill>
              <w14:schemeClr w14:val="tx1"/>
            </w14:solidFill>
          </w14:textFill>
        </w:rPr>
        <w:t>人</w:t>
      </w:r>
      <w:r>
        <w:rPr>
          <w:rFonts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的</w:t>
      </w:r>
      <w:r>
        <w:rPr>
          <w:rFonts w:ascii="宋体" w:hAnsi="宋体" w:eastAsia="宋体" w:cs="宋体"/>
          <w:color w:val="000000" w:themeColor="text1"/>
          <w:sz w:val="24"/>
          <w14:textFill>
            <w14:solidFill>
              <w14:schemeClr w14:val="tx1"/>
            </w14:solidFill>
          </w14:textFill>
        </w:rPr>
        <w:t>理念，</w:t>
      </w:r>
      <w:r>
        <w:rPr>
          <w:rFonts w:hint="eastAsia" w:ascii="宋体" w:hAnsi="宋体" w:eastAsia="宋体" w:cs="宋体"/>
          <w:color w:val="000000" w:themeColor="text1"/>
          <w:sz w:val="24"/>
          <w14:textFill>
            <w14:solidFill>
              <w14:schemeClr w14:val="tx1"/>
            </w14:solidFill>
          </w14:textFill>
        </w:rPr>
        <w:t>将</w:t>
      </w:r>
      <w:r>
        <w:rPr>
          <w:rFonts w:ascii="宋体" w:hAnsi="宋体" w:eastAsia="宋体" w:cs="宋体"/>
          <w:color w:val="000000" w:themeColor="text1"/>
          <w:sz w:val="24"/>
          <w14:textFill>
            <w14:solidFill>
              <w14:schemeClr w14:val="tx1"/>
            </w14:solidFill>
          </w14:textFill>
        </w:rPr>
        <w:t>健康元素全方位融入公众生产生活中，</w:t>
      </w:r>
      <w:r>
        <w:rPr>
          <w:rFonts w:hint="eastAsia" w:ascii="宋体" w:hAnsi="宋体" w:eastAsia="宋体" w:cs="宋体"/>
          <w:color w:val="000000" w:themeColor="text1"/>
          <w:sz w:val="24"/>
          <w14:textFill>
            <w14:solidFill>
              <w14:schemeClr w14:val="tx1"/>
            </w14:solidFill>
          </w14:textFill>
        </w:rPr>
        <w:t>以推进健康城市、健康村镇建设和健康促进示范区活动为抓手，普及健康生活方式，推进合理膳食行动，广泛开展全民健身，维护环境健康与食品药品安全，实施交通安全生命防护工程，开展营养健康食堂（餐厅）建设试点。充分发挥医疗</w:t>
      </w:r>
      <w:r>
        <w:rPr>
          <w:rFonts w:ascii="宋体" w:hAnsi="宋体" w:eastAsia="宋体" w:cs="宋体"/>
          <w:color w:val="000000" w:themeColor="text1"/>
          <w:sz w:val="24"/>
          <w14:textFill>
            <w14:solidFill>
              <w14:schemeClr w14:val="tx1"/>
            </w14:solidFill>
          </w14:textFill>
        </w:rPr>
        <w:t>机构和医务人员作用，在诊疗过程中主动提供健康指导，推进各级医疗卫生机构利用“两微一端”</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微信、微博、移动客户端</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等新媒体传播健康信息</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在主流媒体开设健康栏目</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通过多种形式普及健康知识与技能。</w:t>
      </w:r>
      <w:r>
        <w:rPr>
          <w:rFonts w:hint="eastAsia" w:ascii="宋体" w:hAnsi="宋体" w:eastAsia="宋体" w:cs="宋体"/>
          <w:color w:val="000000" w:themeColor="text1"/>
          <w:sz w:val="24"/>
          <w14:textFill>
            <w14:solidFill>
              <w14:schemeClr w14:val="tx1"/>
            </w14:solidFill>
          </w14:textFill>
        </w:rPr>
        <w:t>二</w:t>
      </w:r>
      <w:r>
        <w:rPr>
          <w:rFonts w:ascii="宋体" w:hAnsi="宋体" w:eastAsia="宋体" w:cs="宋体"/>
          <w:color w:val="000000" w:themeColor="text1"/>
          <w:sz w:val="24"/>
          <w14:textFill>
            <w14:solidFill>
              <w14:schemeClr w14:val="tx1"/>
            </w14:solidFill>
          </w14:textFill>
        </w:rPr>
        <w:t>级</w:t>
      </w:r>
      <w:r>
        <w:rPr>
          <w:rFonts w:hint="eastAsia" w:ascii="宋体" w:hAnsi="宋体" w:eastAsia="宋体" w:cs="宋体"/>
          <w:color w:val="000000" w:themeColor="text1"/>
          <w:sz w:val="24"/>
          <w14:textFill>
            <w14:solidFill>
              <w14:schemeClr w14:val="tx1"/>
            </w14:solidFill>
          </w14:textFill>
        </w:rPr>
        <w:t>以上</w:t>
      </w:r>
      <w:r>
        <w:rPr>
          <w:rFonts w:ascii="宋体" w:hAnsi="宋体" w:eastAsia="宋体" w:cs="宋体"/>
          <w:color w:val="000000" w:themeColor="text1"/>
          <w:sz w:val="24"/>
          <w14:textFill>
            <w14:solidFill>
              <w14:schemeClr w14:val="tx1"/>
            </w14:solidFill>
          </w14:textFill>
        </w:rPr>
        <w:t>医院要</w:t>
      </w:r>
      <w:r>
        <w:rPr>
          <w:rFonts w:hint="eastAsia" w:ascii="宋体" w:hAnsi="宋体" w:eastAsia="宋体" w:cs="宋体"/>
          <w:color w:val="000000" w:themeColor="text1"/>
          <w:sz w:val="24"/>
          <w14:textFill>
            <w14:solidFill>
              <w14:schemeClr w14:val="tx1"/>
            </w14:solidFill>
          </w14:textFill>
        </w:rPr>
        <w:t>组建</w:t>
      </w:r>
      <w:r>
        <w:rPr>
          <w:rFonts w:ascii="宋体" w:hAnsi="宋体" w:eastAsia="宋体" w:cs="宋体"/>
          <w:color w:val="000000" w:themeColor="text1"/>
          <w:sz w:val="24"/>
          <w14:textFill>
            <w14:solidFill>
              <w14:schemeClr w14:val="tx1"/>
            </w14:solidFill>
          </w14:textFill>
        </w:rPr>
        <w:t>健康科普队伍，制定健康科普工作计划，建设微博微信等新媒体健康科普平台，</w:t>
      </w:r>
      <w:r>
        <w:rPr>
          <w:rFonts w:hint="eastAsia" w:ascii="宋体" w:hAnsi="宋体" w:eastAsia="宋体" w:cs="宋体"/>
          <w:color w:val="000000" w:themeColor="text1"/>
          <w:sz w:val="24"/>
          <w14:textFill>
            <w14:solidFill>
              <w14:schemeClr w14:val="tx1"/>
            </w14:solidFill>
          </w14:textFill>
        </w:rPr>
        <w:t>推动</w:t>
      </w:r>
      <w:r>
        <w:rPr>
          <w:rFonts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互联网</w:t>
      </w:r>
      <w:r>
        <w:rPr>
          <w:rFonts w:ascii="宋体" w:hAnsi="宋体" w:eastAsia="宋体" w:cs="宋体"/>
          <w:color w:val="000000" w:themeColor="text1"/>
          <w:sz w:val="24"/>
          <w14:textFill>
            <w14:solidFill>
              <w14:schemeClr w14:val="tx1"/>
            </w14:solidFill>
          </w14:textFill>
        </w:rPr>
        <w:t>+精准健康科普”</w:t>
      </w:r>
      <w:r>
        <w:rPr>
          <w:rFonts w:hint="eastAsia" w:ascii="宋体" w:hAnsi="宋体" w:eastAsia="宋体" w:cs="宋体"/>
          <w:color w:val="000000" w:themeColor="text1"/>
          <w:sz w:val="24"/>
          <w14:textFill>
            <w14:solidFill>
              <w14:schemeClr w14:val="tx1"/>
            </w14:solidFill>
          </w14:textFill>
        </w:rPr>
        <w:t>。建立</w:t>
      </w:r>
      <w:r>
        <w:rPr>
          <w:rFonts w:ascii="宋体" w:hAnsi="宋体" w:eastAsia="宋体" w:cs="宋体"/>
          <w:color w:val="000000" w:themeColor="text1"/>
          <w:sz w:val="24"/>
          <w14:textFill>
            <w14:solidFill>
              <w14:schemeClr w14:val="tx1"/>
            </w14:solidFill>
          </w14:textFill>
        </w:rPr>
        <w:t>鼓励医疗</w:t>
      </w:r>
      <w:r>
        <w:rPr>
          <w:rFonts w:hint="eastAsia" w:ascii="宋体" w:hAnsi="宋体" w:eastAsia="宋体" w:cs="宋体"/>
          <w:color w:val="000000" w:themeColor="text1"/>
          <w:sz w:val="24"/>
          <w14:textFill>
            <w14:solidFill>
              <w14:schemeClr w14:val="tx1"/>
            </w14:solidFill>
          </w14:textFill>
        </w:rPr>
        <w:t>机构</w:t>
      </w:r>
      <w:r>
        <w:rPr>
          <w:rFonts w:ascii="宋体" w:hAnsi="宋体" w:eastAsia="宋体" w:cs="宋体"/>
          <w:color w:val="000000" w:themeColor="text1"/>
          <w:sz w:val="24"/>
          <w14:textFill>
            <w14:solidFill>
              <w14:schemeClr w14:val="tx1"/>
            </w14:solidFill>
          </w14:textFill>
        </w:rPr>
        <w:t>和医务人员</w:t>
      </w:r>
      <w:r>
        <w:rPr>
          <w:rFonts w:hint="eastAsia" w:ascii="宋体" w:hAnsi="宋体" w:eastAsia="宋体" w:cs="宋体"/>
          <w:color w:val="000000" w:themeColor="text1"/>
          <w:sz w:val="24"/>
          <w14:textFill>
            <w14:solidFill>
              <w14:schemeClr w14:val="tx1"/>
            </w14:solidFill>
          </w14:textFill>
        </w:rPr>
        <w:t>开展</w:t>
      </w:r>
      <w:r>
        <w:rPr>
          <w:rFonts w:ascii="宋体" w:hAnsi="宋体" w:eastAsia="宋体" w:cs="宋体"/>
          <w:color w:val="000000" w:themeColor="text1"/>
          <w:sz w:val="24"/>
          <w14:textFill>
            <w14:solidFill>
              <w14:schemeClr w14:val="tx1"/>
            </w14:solidFill>
          </w14:textFill>
        </w:rPr>
        <w:t>健康促进与教育的</w:t>
      </w:r>
      <w:r>
        <w:rPr>
          <w:rFonts w:hint="eastAsia" w:ascii="宋体" w:hAnsi="宋体" w:eastAsia="宋体" w:cs="宋体"/>
          <w:color w:val="000000" w:themeColor="text1"/>
          <w:sz w:val="24"/>
          <w14:textFill>
            <w14:solidFill>
              <w14:schemeClr w14:val="tx1"/>
            </w14:solidFill>
          </w14:textFill>
        </w:rPr>
        <w:t>绩效</w:t>
      </w:r>
      <w:r>
        <w:rPr>
          <w:rFonts w:ascii="宋体" w:hAnsi="宋体" w:eastAsia="宋体" w:cs="宋体"/>
          <w:color w:val="000000" w:themeColor="text1"/>
          <w:sz w:val="24"/>
          <w14:textFill>
            <w14:solidFill>
              <w14:schemeClr w14:val="tx1"/>
            </w14:solidFill>
          </w14:textFill>
        </w:rPr>
        <w:t>考核机制</w:t>
      </w:r>
      <w:r>
        <w:rPr>
          <w:rFonts w:hint="eastAsia" w:ascii="宋体" w:hAnsi="宋体" w:eastAsia="宋体" w:cs="宋体"/>
          <w:color w:val="000000" w:themeColor="text1"/>
          <w:sz w:val="24"/>
          <w14:textFill>
            <w14:solidFill>
              <w14:schemeClr w14:val="tx1"/>
            </w14:solidFill>
          </w14:textFill>
        </w:rPr>
        <w:t>，将</w:t>
      </w:r>
      <w:r>
        <w:rPr>
          <w:rFonts w:ascii="宋体" w:hAnsi="宋体" w:eastAsia="宋体" w:cs="宋体"/>
          <w:color w:val="000000" w:themeColor="text1"/>
          <w:sz w:val="24"/>
          <w14:textFill>
            <w14:solidFill>
              <w14:schemeClr w14:val="tx1"/>
            </w14:solidFill>
          </w14:textFill>
        </w:rPr>
        <w:t>健康促进与教育工作纳入各级各类医疗机构绩效考核，纳入医务人员职称评定和绩效考核</w:t>
      </w:r>
      <w:r>
        <w:rPr>
          <w:rFonts w:hint="eastAsia" w:ascii="宋体" w:hAnsi="宋体" w:eastAsia="宋体" w:cs="宋体"/>
          <w:color w:val="000000" w:themeColor="text1"/>
          <w:sz w:val="24"/>
          <w14:textFill>
            <w14:solidFill>
              <w14:schemeClr w14:val="tx1"/>
            </w14:solidFill>
          </w14:textFill>
        </w:rPr>
        <w:t>，推动</w:t>
      </w:r>
      <w:r>
        <w:rPr>
          <w:rFonts w:ascii="宋体" w:hAnsi="宋体" w:eastAsia="宋体" w:cs="宋体"/>
          <w:color w:val="000000" w:themeColor="text1"/>
          <w:sz w:val="24"/>
          <w14:textFill>
            <w14:solidFill>
              <w14:schemeClr w14:val="tx1"/>
            </w14:solidFill>
          </w14:textFill>
        </w:rPr>
        <w:t>医疗机构查体中心向</w:t>
      </w:r>
      <w:r>
        <w:rPr>
          <w:rFonts w:hint="eastAsia" w:ascii="宋体" w:hAnsi="宋体" w:eastAsia="宋体" w:cs="宋体"/>
          <w:color w:val="000000" w:themeColor="text1"/>
          <w:sz w:val="24"/>
          <w14:textFill>
            <w14:solidFill>
              <w14:schemeClr w14:val="tx1"/>
            </w14:solidFill>
          </w14:textFill>
        </w:rPr>
        <w:t>健康</w:t>
      </w:r>
      <w:r>
        <w:rPr>
          <w:rFonts w:ascii="宋体" w:hAnsi="宋体" w:eastAsia="宋体" w:cs="宋体"/>
          <w:color w:val="000000" w:themeColor="text1"/>
          <w:sz w:val="24"/>
          <w14:textFill>
            <w14:solidFill>
              <w14:schemeClr w14:val="tx1"/>
            </w14:solidFill>
          </w14:textFill>
        </w:rPr>
        <w:t>管理中心转变</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建立全社会参与的健康教育与</w:t>
      </w:r>
      <w:r>
        <w:rPr>
          <w:rFonts w:hint="eastAsia" w:ascii="宋体" w:hAnsi="宋体" w:eastAsia="宋体" w:cs="宋体"/>
          <w:color w:val="000000" w:themeColor="text1"/>
          <w:sz w:val="24"/>
          <w14:textFill>
            <w14:solidFill>
              <w14:schemeClr w14:val="tx1"/>
            </w14:solidFill>
          </w14:textFill>
        </w:rPr>
        <w:t>健康</w:t>
      </w:r>
      <w:r>
        <w:rPr>
          <w:rFonts w:ascii="宋体" w:hAnsi="宋体" w:eastAsia="宋体" w:cs="宋体"/>
          <w:color w:val="000000" w:themeColor="text1"/>
          <w:sz w:val="24"/>
          <w14:textFill>
            <w14:solidFill>
              <w14:schemeClr w14:val="tx1"/>
            </w14:solidFill>
          </w14:textFill>
        </w:rPr>
        <w:t>促进工作机制</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推动多部门联合健康行动</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不断提高辖区居民健康素养水平</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2025年达到30%</w:t>
      </w:r>
      <w:r>
        <w:rPr>
          <w:rFonts w:hint="eastAsia" w:ascii="宋体" w:hAnsi="宋体" w:eastAsia="宋体" w:cs="宋体"/>
          <w:color w:val="000000" w:themeColor="text1"/>
          <w:sz w:val="24"/>
          <w14:textFill>
            <w14:solidFill>
              <w14:schemeClr w14:val="tx1"/>
            </w14:solidFill>
          </w14:textFill>
        </w:rPr>
        <w:t>左右</w:t>
      </w:r>
      <w:r>
        <w:rPr>
          <w:rFonts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（牵头单位：区卫生健康局、区</w:t>
      </w:r>
      <w:r>
        <w:rPr>
          <w:rFonts w:ascii="宋体" w:hAnsi="宋体" w:eastAsia="宋体" w:cs="宋体"/>
          <w:color w:val="000000" w:themeColor="text1"/>
          <w:sz w:val="24"/>
          <w14:textFill>
            <w14:solidFill>
              <w14:schemeClr w14:val="tx1"/>
            </w14:solidFill>
          </w14:textFill>
        </w:rPr>
        <w:t>委宣传部、</w:t>
      </w:r>
      <w:r>
        <w:rPr>
          <w:rFonts w:hint="eastAsia" w:ascii="宋体" w:hAnsi="宋体" w:eastAsia="宋体" w:cs="宋体"/>
          <w:color w:val="000000" w:themeColor="text1"/>
          <w:sz w:val="24"/>
          <w14:textFill>
            <w14:solidFill>
              <w14:schemeClr w14:val="tx1"/>
            </w14:solidFill>
          </w14:textFill>
        </w:rPr>
        <w:t>区人力资源和社会保障局</w:t>
      </w:r>
      <w:r>
        <w:rPr>
          <w:rFonts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区</w:t>
      </w:r>
      <w:r>
        <w:rPr>
          <w:rFonts w:ascii="宋体" w:hAnsi="宋体" w:eastAsia="宋体" w:cs="宋体"/>
          <w:color w:val="000000" w:themeColor="text1"/>
          <w:sz w:val="24"/>
          <w14:textFill>
            <w14:solidFill>
              <w14:schemeClr w14:val="tx1"/>
            </w14:solidFill>
          </w14:textFill>
        </w:rPr>
        <w:t>财政</w:t>
      </w:r>
      <w:r>
        <w:rPr>
          <w:rFonts w:hint="eastAsia" w:ascii="宋体" w:hAnsi="宋体" w:eastAsia="宋体" w:cs="宋体"/>
          <w:color w:val="000000" w:themeColor="text1"/>
          <w:sz w:val="24"/>
          <w14:textFill>
            <w14:solidFill>
              <w14:schemeClr w14:val="tx1"/>
            </w14:solidFill>
          </w14:textFill>
        </w:rPr>
        <w:t>局、区广播电视中心）</w:t>
      </w:r>
    </w:p>
    <w:p>
      <w:pPr>
        <w:spacing w:line="360" w:lineRule="auto"/>
        <w:ind w:firstLine="480" w:firstLineChars="200"/>
        <w:outlineLvl w:val="1"/>
        <w:rPr>
          <w:rFonts w:ascii="宋体" w:hAnsi="宋体" w:eastAsia="宋体" w:cs="宋体"/>
          <w:color w:val="000000" w:themeColor="text1"/>
          <w:sz w:val="24"/>
          <w14:textFill>
            <w14:solidFill>
              <w14:schemeClr w14:val="tx1"/>
            </w14:solidFill>
          </w14:textFill>
        </w:rPr>
      </w:pPr>
      <w:bookmarkStart w:id="32" w:name="_Toc31158"/>
      <w:bookmarkStart w:id="33" w:name="_Toc26850"/>
      <w:r>
        <w:rPr>
          <w:rFonts w:hint="eastAsia" w:ascii="黑体" w:hAnsi="黑体" w:eastAsia="黑体" w:cs="黑体"/>
          <w:color w:val="000000" w:themeColor="text1"/>
          <w:sz w:val="24"/>
          <w14:textFill>
            <w14:solidFill>
              <w14:schemeClr w14:val="tx1"/>
            </w14:solidFill>
          </w14:textFill>
        </w:rPr>
        <w:t>9.全面控烟。</w:t>
      </w:r>
      <w:bookmarkEnd w:id="32"/>
      <w:bookmarkEnd w:id="33"/>
      <w:r>
        <w:rPr>
          <w:rFonts w:hint="eastAsia" w:ascii="宋体" w:hAnsi="宋体" w:eastAsia="宋体" w:cs="宋体"/>
          <w:color w:val="000000" w:themeColor="text1"/>
          <w:sz w:val="24"/>
          <w14:textFill>
            <w14:solidFill>
              <w14:schemeClr w14:val="tx1"/>
            </w14:solidFill>
          </w14:textFill>
        </w:rPr>
        <w:t>加大控烟宣传教育力度，</w:t>
      </w:r>
      <w:r>
        <w:rPr>
          <w:rFonts w:ascii="宋体" w:hAnsi="宋体" w:eastAsia="宋体" w:cs="宋体"/>
          <w:color w:val="000000" w:themeColor="text1"/>
          <w:sz w:val="24"/>
          <w14:textFill>
            <w14:solidFill>
              <w14:schemeClr w14:val="tx1"/>
            </w14:solidFill>
          </w14:textFill>
        </w:rPr>
        <w:t>提高公众对烟草危害的认识程度</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鼓励领导干部、医务人员和教师发挥控烟引领作用。</w:t>
      </w:r>
      <w:r>
        <w:rPr>
          <w:rFonts w:hint="eastAsia" w:ascii="宋体" w:hAnsi="宋体" w:eastAsia="宋体" w:cs="宋体"/>
          <w:color w:val="000000" w:themeColor="text1"/>
          <w:sz w:val="24"/>
          <w14:textFill>
            <w14:solidFill>
              <w14:schemeClr w14:val="tx1"/>
            </w14:solidFill>
          </w14:textFill>
        </w:rPr>
        <w:t>全面</w:t>
      </w:r>
      <w:r>
        <w:rPr>
          <w:rFonts w:ascii="宋体" w:hAnsi="宋体" w:eastAsia="宋体" w:cs="宋体"/>
          <w:color w:val="000000" w:themeColor="text1"/>
          <w:sz w:val="24"/>
          <w14:textFill>
            <w14:solidFill>
              <w14:schemeClr w14:val="tx1"/>
            </w14:solidFill>
          </w14:textFill>
        </w:rPr>
        <w:t>推进无烟</w:t>
      </w:r>
      <w:r>
        <w:rPr>
          <w:rFonts w:hint="eastAsia" w:ascii="宋体" w:hAnsi="宋体" w:eastAsia="宋体" w:cs="宋体"/>
          <w:color w:val="000000" w:themeColor="text1"/>
          <w:sz w:val="24"/>
          <w14:textFill>
            <w14:solidFill>
              <w14:schemeClr w14:val="tx1"/>
            </w14:solidFill>
          </w14:textFill>
        </w:rPr>
        <w:t>环境</w:t>
      </w:r>
      <w:r>
        <w:rPr>
          <w:rFonts w:ascii="宋体" w:hAnsi="宋体" w:eastAsia="宋体" w:cs="宋体"/>
          <w:color w:val="000000" w:themeColor="text1"/>
          <w:sz w:val="24"/>
          <w14:textFill>
            <w14:solidFill>
              <w14:schemeClr w14:val="tx1"/>
            </w14:solidFill>
          </w14:textFill>
        </w:rPr>
        <w:t>建设</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把各级党政机关建设成无烟机关</w:t>
      </w:r>
      <w:r>
        <w:rPr>
          <w:rFonts w:hint="eastAsia" w:ascii="宋体" w:hAnsi="宋体" w:eastAsia="宋体" w:cs="宋体"/>
          <w:color w:val="000000" w:themeColor="text1"/>
          <w:sz w:val="24"/>
          <w14:textFill>
            <w14:solidFill>
              <w14:schemeClr w14:val="tx1"/>
            </w14:solidFill>
          </w14:textFill>
        </w:rPr>
        <w:t>，各级各类学校建设成无烟学校，各级各类卫生健康机构建设成无烟卫生机构</w:t>
      </w:r>
      <w:r>
        <w:rPr>
          <w:rFonts w:ascii="宋体" w:hAnsi="宋体" w:eastAsia="宋体" w:cs="宋体"/>
          <w:color w:val="000000" w:themeColor="text1"/>
          <w:sz w:val="24"/>
          <w14:textFill>
            <w14:solidFill>
              <w14:schemeClr w14:val="tx1"/>
            </w14:solidFill>
          </w14:textFill>
        </w:rPr>
        <w:t>。加大烟草监督执法力度</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依法规范烟草促销、赞助等行为</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禁止向未成年人销售烟草制品</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含电子烟</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严厉查处在大众传播媒介、公共场所发布烟草广告的违法行为</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将违反有关法律法规的企业和商家</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纳入社会诚信体系“黑名单”</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依法依规实施联合惩戒。</w:t>
      </w:r>
      <w:r>
        <w:rPr>
          <w:rFonts w:hint="eastAsia" w:ascii="宋体" w:hAnsi="宋体" w:eastAsia="宋体" w:cs="宋体"/>
          <w:color w:val="000000" w:themeColor="text1"/>
          <w:sz w:val="24"/>
          <w14:textFill>
            <w14:solidFill>
              <w14:schemeClr w14:val="tx1"/>
            </w14:solidFill>
          </w14:textFill>
        </w:rPr>
        <w:t>到2025年，全面无烟法规覆盖人口比例提高至60%以上，15岁以上人群吸烟率下降至22%以下。（牵头单位：区卫生健康局、区</w:t>
      </w:r>
      <w:r>
        <w:rPr>
          <w:rFonts w:ascii="宋体" w:hAnsi="宋体" w:eastAsia="宋体" w:cs="宋体"/>
          <w:color w:val="000000" w:themeColor="text1"/>
          <w:sz w:val="24"/>
          <w14:textFill>
            <w14:solidFill>
              <w14:schemeClr w14:val="tx1"/>
            </w14:solidFill>
          </w14:textFill>
        </w:rPr>
        <w:t>委宣传部、</w:t>
      </w:r>
      <w:r>
        <w:rPr>
          <w:rFonts w:hint="eastAsia" w:ascii="宋体" w:hAnsi="宋体" w:eastAsia="宋体" w:cs="宋体"/>
          <w:color w:val="000000" w:themeColor="text1"/>
          <w:sz w:val="24"/>
          <w14:textFill>
            <w14:solidFill>
              <w14:schemeClr w14:val="tx1"/>
            </w14:solidFill>
          </w14:textFill>
        </w:rPr>
        <w:t>区发展和改革局</w:t>
      </w:r>
      <w:r>
        <w:rPr>
          <w:rFonts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区教育和体育局</w:t>
      </w:r>
      <w:r>
        <w:rPr>
          <w:rFonts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区</w:t>
      </w:r>
      <w:r>
        <w:rPr>
          <w:rFonts w:ascii="宋体" w:hAnsi="宋体" w:eastAsia="宋体" w:cs="宋体"/>
          <w:color w:val="000000" w:themeColor="text1"/>
          <w:sz w:val="24"/>
          <w14:textFill>
            <w14:solidFill>
              <w14:schemeClr w14:val="tx1"/>
            </w14:solidFill>
          </w14:textFill>
        </w:rPr>
        <w:t>司法局、</w:t>
      </w:r>
      <w:r>
        <w:rPr>
          <w:rFonts w:hint="eastAsia" w:ascii="宋体" w:hAnsi="宋体" w:eastAsia="宋体" w:cs="宋体"/>
          <w:color w:val="000000" w:themeColor="text1"/>
          <w:sz w:val="24"/>
          <w14:textFill>
            <w14:solidFill>
              <w14:schemeClr w14:val="tx1"/>
            </w14:solidFill>
          </w14:textFill>
        </w:rPr>
        <w:t>区</w:t>
      </w:r>
      <w:r>
        <w:rPr>
          <w:rFonts w:ascii="宋体" w:hAnsi="宋体" w:eastAsia="宋体" w:cs="宋体"/>
          <w:color w:val="000000" w:themeColor="text1"/>
          <w:sz w:val="24"/>
          <w14:textFill>
            <w14:solidFill>
              <w14:schemeClr w14:val="tx1"/>
            </w14:solidFill>
          </w14:textFill>
        </w:rPr>
        <w:t>财政局、</w:t>
      </w:r>
      <w:r>
        <w:rPr>
          <w:rFonts w:hint="eastAsia" w:ascii="宋体" w:hAnsi="宋体" w:eastAsia="宋体" w:cs="宋体"/>
          <w:color w:val="000000" w:themeColor="text1"/>
          <w:sz w:val="24"/>
          <w14:textFill>
            <w14:solidFill>
              <w14:schemeClr w14:val="tx1"/>
            </w14:solidFill>
          </w14:textFill>
        </w:rPr>
        <w:t>区</w:t>
      </w:r>
      <w:r>
        <w:rPr>
          <w:rFonts w:ascii="宋体" w:hAnsi="宋体" w:eastAsia="宋体" w:cs="宋体"/>
          <w:color w:val="000000" w:themeColor="text1"/>
          <w:sz w:val="24"/>
          <w14:textFill>
            <w14:solidFill>
              <w14:schemeClr w14:val="tx1"/>
            </w14:solidFill>
          </w14:textFill>
        </w:rPr>
        <w:t>文化和旅游局、</w:t>
      </w:r>
      <w:r>
        <w:rPr>
          <w:rFonts w:hint="eastAsia" w:ascii="宋体" w:hAnsi="宋体" w:eastAsia="宋体" w:cs="宋体"/>
          <w:color w:val="000000" w:themeColor="text1"/>
          <w:sz w:val="24"/>
          <w14:textFill>
            <w14:solidFill>
              <w14:schemeClr w14:val="tx1"/>
            </w14:solidFill>
          </w14:textFill>
        </w:rPr>
        <w:t>区</w:t>
      </w:r>
      <w:r>
        <w:rPr>
          <w:rFonts w:ascii="宋体" w:hAnsi="宋体" w:eastAsia="宋体" w:cs="宋体"/>
          <w:color w:val="000000" w:themeColor="text1"/>
          <w:sz w:val="24"/>
          <w14:textFill>
            <w14:solidFill>
              <w14:schemeClr w14:val="tx1"/>
            </w14:solidFill>
          </w14:textFill>
        </w:rPr>
        <w:t>市场监管局、</w:t>
      </w:r>
      <w:r>
        <w:rPr>
          <w:rFonts w:hint="eastAsia" w:ascii="宋体" w:hAnsi="宋体" w:eastAsia="宋体" w:cs="宋体"/>
          <w:color w:val="000000" w:themeColor="text1"/>
          <w:sz w:val="24"/>
          <w14:textFill>
            <w14:solidFill>
              <w14:schemeClr w14:val="tx1"/>
            </w14:solidFill>
          </w14:textFill>
        </w:rPr>
        <w:t>区</w:t>
      </w:r>
      <w:r>
        <w:rPr>
          <w:rFonts w:ascii="宋体" w:hAnsi="宋体" w:eastAsia="宋体" w:cs="宋体"/>
          <w:color w:val="000000" w:themeColor="text1"/>
          <w:sz w:val="24"/>
          <w14:textFill>
            <w14:solidFill>
              <w14:schemeClr w14:val="tx1"/>
            </w14:solidFill>
          </w14:textFill>
        </w:rPr>
        <w:t>税务局、</w:t>
      </w:r>
      <w:r>
        <w:rPr>
          <w:rFonts w:hint="eastAsia" w:ascii="宋体" w:hAnsi="宋体" w:eastAsia="宋体" w:cs="宋体"/>
          <w:color w:val="000000" w:themeColor="text1"/>
          <w:sz w:val="24"/>
          <w14:textFill>
            <w14:solidFill>
              <w14:schemeClr w14:val="tx1"/>
            </w14:solidFill>
          </w14:textFill>
        </w:rPr>
        <w:t>区</w:t>
      </w:r>
      <w:r>
        <w:rPr>
          <w:rFonts w:ascii="宋体" w:hAnsi="宋体" w:eastAsia="宋体" w:cs="宋体"/>
          <w:color w:val="000000" w:themeColor="text1"/>
          <w:sz w:val="24"/>
          <w14:textFill>
            <w14:solidFill>
              <w14:schemeClr w14:val="tx1"/>
            </w14:solidFill>
          </w14:textFill>
        </w:rPr>
        <w:t>烟草专卖局</w:t>
      </w:r>
      <w:r>
        <w:rPr>
          <w:rFonts w:hint="eastAsia" w:ascii="宋体" w:hAnsi="宋体" w:eastAsia="宋体" w:cs="宋体"/>
          <w:color w:val="000000" w:themeColor="text1"/>
          <w:sz w:val="24"/>
          <w14:textFill>
            <w14:solidFill>
              <w14:schemeClr w14:val="tx1"/>
            </w14:solidFill>
          </w14:textFill>
        </w:rPr>
        <w:t>）</w:t>
      </w:r>
    </w:p>
    <w:p>
      <w:pPr>
        <w:spacing w:line="360" w:lineRule="auto"/>
        <w:ind w:firstLine="480" w:firstLineChars="200"/>
        <w:outlineLvl w:val="1"/>
        <w:rPr>
          <w:rFonts w:ascii="宋体" w:hAnsi="宋体" w:eastAsia="宋体" w:cs="宋体"/>
          <w:color w:val="000000" w:themeColor="text1"/>
          <w:sz w:val="24"/>
          <w14:textFill>
            <w14:solidFill>
              <w14:schemeClr w14:val="tx1"/>
            </w14:solidFill>
          </w14:textFill>
        </w:rPr>
      </w:pPr>
      <w:bookmarkStart w:id="34" w:name="_Toc27529"/>
      <w:bookmarkStart w:id="35" w:name="_Toc29745"/>
      <w:r>
        <w:rPr>
          <w:rFonts w:hint="eastAsia" w:ascii="黑体" w:hAnsi="黑体" w:eastAsia="黑体" w:cs="黑体"/>
          <w:color w:val="000000" w:themeColor="text1"/>
          <w:sz w:val="24"/>
          <w14:textFill>
            <w14:solidFill>
              <w14:schemeClr w14:val="tx1"/>
            </w14:solidFill>
          </w14:textFill>
        </w:rPr>
        <w:t>10.深入开展爱国卫生运动。</w:t>
      </w:r>
      <w:bookmarkEnd w:id="34"/>
      <w:bookmarkEnd w:id="35"/>
      <w:r>
        <w:rPr>
          <w:rFonts w:hint="eastAsia" w:ascii="宋体" w:hAnsi="宋体" w:eastAsia="宋体" w:cs="宋体"/>
          <w:color w:val="000000" w:themeColor="text1"/>
          <w:sz w:val="24"/>
          <w14:textFill>
            <w14:solidFill>
              <w14:schemeClr w14:val="tx1"/>
            </w14:solidFill>
          </w14:textFill>
        </w:rPr>
        <w:t>高水平推进新时代爱国卫生运动，全面推动从环境卫生治理向全面社会健康管理转变，融入村（居）网格化管理，推动村（居）委会设立公共卫生委员会，建立健全基层健康治理机制。全面改善城乡环境面貌，加强公共卫生环境基础设施建设，强化病媒生物防制，提升卫生乡村覆盖率，推进健康城市和健康细胞建设，广泛普及文明健康、绿色环保的生活方式，全面提高社会健康综合治理能力。到2025年，国家卫生乡镇比例达到50%以上，省级卫生村比例达到100%；城市厕所全部达到二类标准。（牵头单位：区卫生健康局、区爱国卫生运动委员会成员单位、各街道园区）</w:t>
      </w:r>
    </w:p>
    <w:p>
      <w:pPr>
        <w:jc w:val="center"/>
        <w:rPr>
          <w:rFonts w:ascii="宋体" w:hAnsi="宋体" w:eastAsia="宋体" w:cs="宋体"/>
          <w:b/>
          <w:bCs/>
          <w:color w:val="000000" w:themeColor="text1"/>
          <w:sz w:val="24"/>
          <w14:textFill>
            <w14:solidFill>
              <w14:schemeClr w14:val="tx1"/>
            </w14:solidFill>
          </w14:textFill>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60" w:lineRule="auto"/>
              <w:jc w:val="center"/>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专栏</w:t>
            </w:r>
            <w:r>
              <w:rPr>
                <w:rFonts w:ascii="宋体" w:hAnsi="宋体" w:eastAsia="宋体" w:cs="宋体"/>
                <w:b/>
                <w:bCs/>
                <w:color w:val="000000" w:themeColor="text1"/>
                <w:sz w:val="24"/>
                <w14:textFill>
                  <w14:solidFill>
                    <w14:schemeClr w14:val="tx1"/>
                  </w14:solidFill>
                </w14:textFill>
              </w:rPr>
              <w:t>2</w:t>
            </w:r>
            <w:r>
              <w:rPr>
                <w:rFonts w:hint="eastAsia" w:ascii="宋体" w:hAnsi="宋体" w:eastAsia="宋体" w:cs="宋体"/>
                <w:b/>
                <w:bCs/>
                <w:color w:val="000000" w:themeColor="text1"/>
                <w:sz w:val="24"/>
                <w14:textFill>
                  <w14:solidFill>
                    <w14:schemeClr w14:val="tx1"/>
                  </w14:solidFill>
                </w14:textFill>
              </w:rPr>
              <w:t xml:space="preserve"> 实施健康莱山建设专项行动</w:t>
            </w:r>
          </w:p>
          <w:p>
            <w:pPr>
              <w:spacing w:line="360" w:lineRule="auto"/>
              <w:ind w:firstLine="480" w:firstLineChars="200"/>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以《关于贯彻健康中国行动推进健康烟台建设的实施方案》（烟政办发</w:t>
            </w:r>
            <w:r>
              <w:rPr>
                <w:rFonts w:hint="eastAsia" w:ascii="仿宋" w:hAnsi="仿宋" w:eastAsia="仿宋" w:cs="仿宋"/>
                <w:color w:val="000000" w:themeColor="text1"/>
                <w:sz w:val="24"/>
                <w14:textFill>
                  <w14:solidFill>
                    <w14:schemeClr w14:val="tx1"/>
                  </w14:solidFill>
                </w14:textFill>
              </w:rPr>
              <w:t>〔2020〕10</w:t>
            </w:r>
            <w:r>
              <w:rPr>
                <w:rFonts w:hint="eastAsia" w:cs="仿宋" w:asciiTheme="minorEastAsia" w:hAnsiTheme="minorEastAsia"/>
                <w:color w:val="000000" w:themeColor="text1"/>
                <w:sz w:val="24"/>
                <w14:textFill>
                  <w14:solidFill>
                    <w14:schemeClr w14:val="tx1"/>
                  </w14:solidFill>
                </w14:textFill>
              </w:rPr>
              <w:t>号</w:t>
            </w:r>
            <w:r>
              <w:rPr>
                <w:rFonts w:hint="eastAsia" w:ascii="宋体" w:hAnsi="宋体" w:eastAsia="宋体" w:cs="宋体"/>
                <w:color w:val="000000" w:themeColor="text1"/>
                <w:sz w:val="24"/>
                <w14:textFill>
                  <w14:solidFill>
                    <w14:schemeClr w14:val="tx1"/>
                  </w14:solidFill>
                </w14:textFill>
              </w:rPr>
              <w:t>）为指导文件，实施健康知识普及行动、合理膳食行动、全民健身行动、控烟行动、心理健康促进行动、健康环境促进行动、妇幼健康促进行动、中小学健康促进行动、职业健康保护行动、老年健康促进行动、心脑血管疾病防治行动、癌症防治行动、慢性呼吸系统疾病防治行动、糖尿病防治行动、传染病及地方病防控行动。</w:t>
            </w:r>
          </w:p>
        </w:tc>
      </w:tr>
    </w:tbl>
    <w:p>
      <w:pPr>
        <w:ind w:firstLine="482" w:firstLineChars="200"/>
        <w:rPr>
          <w:rFonts w:ascii="宋体" w:hAnsi="宋体" w:eastAsia="宋体" w:cs="宋体"/>
          <w:b/>
          <w:bCs/>
          <w:color w:val="000000" w:themeColor="text1"/>
          <w:sz w:val="24"/>
          <w14:textFill>
            <w14:solidFill>
              <w14:schemeClr w14:val="tx1"/>
            </w14:solidFill>
          </w14:textFill>
        </w:rPr>
      </w:pPr>
    </w:p>
    <w:p>
      <w:pPr>
        <w:spacing w:line="360" w:lineRule="auto"/>
        <w:ind w:firstLine="482" w:firstLineChars="200"/>
        <w:outlineLvl w:val="0"/>
        <w:rPr>
          <w:rFonts w:ascii="宋体" w:hAnsi="宋体" w:eastAsia="宋体" w:cs="宋体"/>
          <w:b/>
          <w:bCs/>
          <w:color w:val="000000" w:themeColor="text1"/>
          <w:sz w:val="24"/>
          <w14:textFill>
            <w14:solidFill>
              <w14:schemeClr w14:val="tx1"/>
            </w14:solidFill>
          </w14:textFill>
        </w:rPr>
      </w:pPr>
      <w:bookmarkStart w:id="36" w:name="_Toc19925"/>
      <w:bookmarkStart w:id="37" w:name="_Toc9531"/>
      <w:r>
        <w:rPr>
          <w:rFonts w:hint="eastAsia" w:ascii="宋体" w:hAnsi="宋体" w:eastAsia="宋体" w:cs="宋体"/>
          <w:b/>
          <w:bCs/>
          <w:color w:val="000000" w:themeColor="text1"/>
          <w:sz w:val="24"/>
          <w14:textFill>
            <w14:solidFill>
              <w14:schemeClr w14:val="tx1"/>
            </w14:solidFill>
          </w14:textFill>
        </w:rPr>
        <w:t>五、构建全生命周期健康服务，积极应对人口老龄化</w:t>
      </w:r>
      <w:bookmarkEnd w:id="36"/>
      <w:bookmarkEnd w:id="37"/>
    </w:p>
    <w:p>
      <w:pPr>
        <w:spacing w:line="360" w:lineRule="auto"/>
        <w:ind w:firstLine="480" w:firstLineChars="200"/>
        <w:outlineLvl w:val="1"/>
        <w:rPr>
          <w:rFonts w:asciiTheme="minorEastAsia" w:hAnsiTheme="minorEastAsia" w:cstheme="minorEastAsia"/>
          <w:color w:val="000000" w:themeColor="text1"/>
          <w:sz w:val="24"/>
          <w14:textFill>
            <w14:solidFill>
              <w14:schemeClr w14:val="tx1"/>
            </w14:solidFill>
          </w14:textFill>
        </w:rPr>
      </w:pPr>
      <w:bookmarkStart w:id="38" w:name="_Toc15382"/>
      <w:bookmarkStart w:id="39" w:name="_Toc1579"/>
      <w:r>
        <w:rPr>
          <w:rFonts w:hint="eastAsia" w:ascii="黑体" w:hAnsi="黑体" w:eastAsia="黑体" w:cs="黑体"/>
          <w:color w:val="000000" w:themeColor="text1"/>
          <w:sz w:val="24"/>
          <w14:textFill>
            <w14:solidFill>
              <w14:schemeClr w14:val="tx1"/>
            </w14:solidFill>
          </w14:textFill>
        </w:rPr>
        <w:t>11.落实生育政策，强化妇幼健康优质服务。</w:t>
      </w:r>
      <w:bookmarkEnd w:id="38"/>
      <w:bookmarkEnd w:id="39"/>
      <w:r>
        <w:rPr>
          <w:rFonts w:hint="eastAsia" w:asciiTheme="minorEastAsia" w:hAnsiTheme="minorEastAsia" w:cstheme="minorEastAsia"/>
          <w:color w:val="000000" w:themeColor="text1"/>
          <w:sz w:val="24"/>
          <w14:textFill>
            <w14:solidFill>
              <w14:schemeClr w14:val="tx1"/>
            </w14:solidFill>
          </w14:textFill>
        </w:rPr>
        <w:t>各级党委和政府要加强统筹规划、政策协调，全面落实国家的生育政策及配套支持措施，促进生育政策与经济社会政策配套衔接，减轻家庭生育、养育、教育负担，健全重大经济社会政策人口影响评估机制。</w:t>
      </w:r>
      <w:r>
        <w:rPr>
          <w:rFonts w:ascii="宋体" w:hAnsi="宋体" w:eastAsia="宋体" w:cs="宋体"/>
          <w:color w:val="000000" w:themeColor="text1"/>
          <w:sz w:val="24"/>
          <w14:textFill>
            <w14:solidFill>
              <w14:schemeClr w14:val="tx1"/>
            </w14:solidFill>
          </w14:textFill>
        </w:rPr>
        <w:t>不断完善</w:t>
      </w:r>
      <w:r>
        <w:rPr>
          <w:rFonts w:hint="eastAsia" w:asciiTheme="minorEastAsia" w:hAnsiTheme="minorEastAsia" w:cstheme="minorEastAsia"/>
          <w:color w:val="000000" w:themeColor="text1"/>
          <w:sz w:val="24"/>
          <w14:textFill>
            <w14:solidFill>
              <w14:schemeClr w14:val="tx1"/>
            </w14:solidFill>
          </w14:textFill>
        </w:rPr>
        <w:t>妇女儿童全生命周期健康服务体系，</w:t>
      </w:r>
      <w:r>
        <w:rPr>
          <w:rFonts w:ascii="宋体" w:hAnsi="宋体" w:eastAsia="宋体" w:cs="宋体"/>
          <w:color w:val="000000" w:themeColor="text1"/>
          <w:sz w:val="24"/>
          <w14:textFill>
            <w14:solidFill>
              <w14:schemeClr w14:val="tx1"/>
            </w14:solidFill>
          </w14:textFill>
        </w:rPr>
        <w:t>推进妇幼保健机构标准化建设</w:t>
      </w:r>
      <w:r>
        <w:rPr>
          <w:rFonts w:hint="eastAsia" w:ascii="宋体" w:hAnsi="宋体" w:eastAsia="宋体" w:cs="宋体"/>
          <w:color w:val="000000" w:themeColor="text1"/>
          <w:sz w:val="24"/>
          <w14:textFill>
            <w14:solidFill>
              <w14:schemeClr w14:val="tx1"/>
            </w14:solidFill>
          </w14:textFill>
        </w:rPr>
        <w:t>，</w:t>
      </w:r>
      <w:r>
        <w:rPr>
          <w:rFonts w:hint="eastAsia" w:asciiTheme="minorEastAsia" w:hAnsiTheme="minorEastAsia" w:cstheme="minorEastAsia"/>
          <w:color w:val="000000" w:themeColor="text1"/>
          <w:sz w:val="24"/>
          <w14:textFill>
            <w14:solidFill>
              <w14:schemeClr w14:val="tx1"/>
            </w14:solidFill>
          </w14:textFill>
        </w:rPr>
        <w:t>扎实落实母婴安全五项制度，提升孕产妇、新生儿危急重症联合救治能力，降低孕产妇和婴儿死亡率。强化出生缺陷综合防治措施，推行婚姻登记与婚前孕前医学检查一站式服务模式，规范开展产前筛查和产前诊断工作，开展新生儿遗传代谢病、听力障碍和新生儿先天性心脏病筛查和救助，不断提升优生优育水平。扩大适龄妇女“两癌”免费检查覆盖面。到2025年，全区妇女常见病筛查率达85%以上，孕产妇健康管理率达到90%以上。实施健康儿童行动提升计划，加强未成年人健康保障，到2025年，全区0-6岁儿童实现眼保健及视力检查全覆盖，儿童健康管理率达到90%以上。（牵头单位：区卫生健康局、区发展和改革局、区教育和体育局、区妇联、区总工会）</w:t>
      </w:r>
    </w:p>
    <w:p>
      <w:pPr>
        <w:spacing w:line="360" w:lineRule="auto"/>
        <w:ind w:firstLine="480" w:firstLineChars="200"/>
        <w:outlineLvl w:val="1"/>
        <w:rPr>
          <w:rFonts w:asciiTheme="minorEastAsia" w:hAnsiTheme="minorEastAsia" w:cstheme="minorEastAsia"/>
          <w:color w:val="000000" w:themeColor="text1"/>
          <w:sz w:val="24"/>
          <w14:textFill>
            <w14:solidFill>
              <w14:schemeClr w14:val="tx1"/>
            </w14:solidFill>
          </w14:textFill>
        </w:rPr>
      </w:pPr>
      <w:bookmarkStart w:id="40" w:name="_Toc102"/>
      <w:bookmarkStart w:id="41" w:name="_Toc15513"/>
      <w:r>
        <w:rPr>
          <w:rFonts w:hint="eastAsia" w:ascii="黑体" w:hAnsi="黑体" w:eastAsia="黑体" w:cs="黑体"/>
          <w:color w:val="000000" w:themeColor="text1"/>
          <w:sz w:val="24"/>
          <w14:textFill>
            <w14:solidFill>
              <w14:schemeClr w14:val="tx1"/>
            </w14:solidFill>
          </w14:textFill>
        </w:rPr>
        <w:t>12.健全婴幼儿发展政策。</w:t>
      </w:r>
      <w:bookmarkEnd w:id="40"/>
      <w:bookmarkEnd w:id="41"/>
      <w:r>
        <w:rPr>
          <w:rFonts w:hint="eastAsia" w:asciiTheme="minorEastAsia" w:hAnsiTheme="minorEastAsia" w:cstheme="minorEastAsia"/>
          <w:color w:val="000000" w:themeColor="text1"/>
          <w:sz w:val="24"/>
          <w14:textFill>
            <w14:solidFill>
              <w14:schemeClr w14:val="tx1"/>
            </w14:solidFill>
          </w14:textFill>
        </w:rPr>
        <w:t>发展普惠托育服务体系，健全支持婴幼儿照护服务和早期发展的政策体系。加强对家庭照护和社区服务的支持指导，增强家庭科学育儿能力。严格落实城镇小区配套园政策，积极发展多种形式的婴幼儿照护服务，鼓励有条件的用人单位提供婴幼儿照护服务，支持企事业单位和社会组织等社会力量提供普惠托育服务，鼓励幼儿园发展托幼一体化服务。推进婴幼儿照护服务专业化、规范化发展，提高保育保教质量和水平。到2025年，每千人口拥有3岁以下婴幼儿托位数达到4.5个。（牵头单位：区卫生健康局、区教育和体育局、区住房和城乡建设局）</w:t>
      </w:r>
    </w:p>
    <w:p>
      <w:pPr>
        <w:spacing w:line="360" w:lineRule="auto"/>
        <w:ind w:firstLine="480" w:firstLineChars="200"/>
        <w:outlineLvl w:val="1"/>
        <w:rPr>
          <w:rFonts w:ascii="宋体" w:hAnsi="宋体" w:eastAsia="宋体" w:cs="宋体"/>
          <w:color w:val="000000" w:themeColor="text1"/>
          <w:sz w:val="24"/>
          <w14:textFill>
            <w14:solidFill>
              <w14:schemeClr w14:val="tx1"/>
            </w14:solidFill>
          </w14:textFill>
        </w:rPr>
      </w:pPr>
      <w:bookmarkStart w:id="42" w:name="_Toc31018"/>
      <w:bookmarkStart w:id="43" w:name="_Toc3845"/>
      <w:r>
        <w:rPr>
          <w:rFonts w:hint="eastAsia" w:ascii="黑体" w:hAnsi="黑体" w:eastAsia="黑体" w:cs="黑体"/>
          <w:color w:val="000000" w:themeColor="text1"/>
          <w:sz w:val="24"/>
          <w14:textFill>
            <w14:solidFill>
              <w14:schemeClr w14:val="tx1"/>
            </w14:solidFill>
          </w14:textFill>
        </w:rPr>
        <w:t>13.促进儿童青少年健康成长。</w:t>
      </w:r>
      <w:bookmarkEnd w:id="42"/>
      <w:bookmarkEnd w:id="43"/>
      <w:r>
        <w:rPr>
          <w:rFonts w:hint="eastAsia" w:ascii="宋体" w:hAnsi="宋体" w:eastAsia="宋体" w:cs="宋体"/>
          <w:color w:val="000000" w:themeColor="text1"/>
          <w:sz w:val="24"/>
          <w14:textFill>
            <w14:solidFill>
              <w14:schemeClr w14:val="tx1"/>
            </w14:solidFill>
          </w14:textFill>
        </w:rPr>
        <w:t>以</w:t>
      </w:r>
      <w:r>
        <w:rPr>
          <w:rFonts w:ascii="宋体" w:hAnsi="宋体" w:eastAsia="宋体" w:cs="宋体"/>
          <w:color w:val="000000" w:themeColor="text1"/>
          <w:sz w:val="24"/>
          <w14:textFill>
            <w14:solidFill>
              <w14:schemeClr w14:val="tx1"/>
            </w14:solidFill>
          </w14:textFill>
        </w:rPr>
        <w:t>健康学校建设</w:t>
      </w:r>
      <w:r>
        <w:rPr>
          <w:rFonts w:hint="eastAsia" w:ascii="宋体" w:hAnsi="宋体" w:eastAsia="宋体" w:cs="宋体"/>
          <w:color w:val="000000" w:themeColor="text1"/>
          <w:sz w:val="24"/>
          <w14:textFill>
            <w14:solidFill>
              <w14:schemeClr w14:val="tx1"/>
            </w14:solidFill>
          </w14:textFill>
        </w:rPr>
        <w:t>为抓手，</w:t>
      </w:r>
      <w:r>
        <w:rPr>
          <w:rFonts w:ascii="宋体" w:hAnsi="宋体" w:eastAsia="宋体" w:cs="宋体"/>
          <w:color w:val="000000" w:themeColor="text1"/>
          <w:sz w:val="24"/>
          <w14:textFill>
            <w14:solidFill>
              <w14:schemeClr w14:val="tx1"/>
            </w14:solidFill>
          </w14:textFill>
        </w:rPr>
        <w:t>完善</w:t>
      </w:r>
      <w:r>
        <w:rPr>
          <w:rFonts w:hint="eastAsia" w:ascii="宋体" w:hAnsi="宋体" w:eastAsia="宋体" w:cs="宋体"/>
          <w:color w:val="000000" w:themeColor="text1"/>
          <w:sz w:val="24"/>
          <w14:textFill>
            <w14:solidFill>
              <w14:schemeClr w14:val="tx1"/>
            </w14:solidFill>
          </w14:textFill>
        </w:rPr>
        <w:t>儿童青少年</w:t>
      </w:r>
      <w:r>
        <w:rPr>
          <w:rFonts w:ascii="宋体" w:hAnsi="宋体" w:eastAsia="宋体" w:cs="宋体"/>
          <w:color w:val="000000" w:themeColor="text1"/>
          <w:sz w:val="24"/>
          <w14:textFill>
            <w14:solidFill>
              <w14:schemeClr w14:val="tx1"/>
            </w14:solidFill>
          </w14:textFill>
        </w:rPr>
        <w:t>卫生保健服务体系</w:t>
      </w:r>
      <w:r>
        <w:rPr>
          <w:rFonts w:hint="eastAsia" w:ascii="宋体" w:hAnsi="宋体" w:eastAsia="宋体" w:cs="宋体"/>
          <w:color w:val="000000" w:themeColor="text1"/>
          <w:sz w:val="24"/>
          <w14:textFill>
            <w14:solidFill>
              <w14:schemeClr w14:val="tx1"/>
            </w14:solidFill>
          </w14:textFill>
        </w:rPr>
        <w:t>，</w:t>
      </w:r>
      <w:r>
        <w:rPr>
          <w:rFonts w:hint="eastAsia" w:asciiTheme="minorEastAsia" w:hAnsiTheme="minorEastAsia" w:cstheme="minorEastAsia"/>
          <w:color w:val="000000" w:themeColor="text1"/>
          <w:sz w:val="24"/>
          <w14:textFill>
            <w14:solidFill>
              <w14:schemeClr w14:val="tx1"/>
            </w14:solidFill>
          </w14:textFill>
        </w:rPr>
        <w:t>加强中小学校医、保健教师配备，完善学校卫生室建设，开展常见传染病预防和突发重大公共卫生事件应急教育，提高学生卫生应急素养。</w:t>
      </w:r>
      <w:r>
        <w:rPr>
          <w:rFonts w:ascii="宋体" w:hAnsi="宋体" w:eastAsia="宋体" w:cs="宋体"/>
          <w:color w:val="000000" w:themeColor="text1"/>
          <w:sz w:val="24"/>
          <w14:textFill>
            <w14:solidFill>
              <w14:schemeClr w14:val="tx1"/>
            </w14:solidFill>
          </w14:textFill>
        </w:rPr>
        <w:t>完善学生健康体检制度和学生体质健康监测制度</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把学生体质健康状况纳入对学校的绩效考核</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实施儿童青少年近视</w:t>
      </w:r>
      <w:r>
        <w:rPr>
          <w:rFonts w:hint="eastAsia" w:asciiTheme="minorEastAsia" w:hAnsiTheme="minorEastAsia" w:cstheme="minorEastAsia"/>
          <w:color w:val="000000" w:themeColor="text1"/>
          <w:sz w:val="24"/>
          <w14:textFill>
            <w14:solidFill>
              <w14:schemeClr w14:val="tx1"/>
            </w14:solidFill>
          </w14:textFill>
        </w:rPr>
        <w:t>、龋齿、肥胖等</w:t>
      </w:r>
      <w:r>
        <w:rPr>
          <w:rFonts w:ascii="宋体" w:hAnsi="宋体" w:eastAsia="宋体" w:cs="宋体"/>
          <w:color w:val="000000" w:themeColor="text1"/>
          <w:sz w:val="24"/>
          <w14:textFill>
            <w14:solidFill>
              <w14:schemeClr w14:val="tx1"/>
            </w14:solidFill>
          </w14:textFill>
        </w:rPr>
        <w:t>综合防</w:t>
      </w:r>
      <w:r>
        <w:rPr>
          <w:rFonts w:hint="eastAsia" w:ascii="宋体" w:hAnsi="宋体" w:eastAsia="宋体" w:cs="宋体"/>
          <w:color w:val="000000" w:themeColor="text1"/>
          <w:sz w:val="24"/>
          <w14:textFill>
            <w14:solidFill>
              <w14:schemeClr w14:val="tx1"/>
            </w14:solidFill>
          </w14:textFill>
        </w:rPr>
        <w:t>控。基本建成有利于儿童青少年心理健康的社会环境，配备专兼职心理健康工作人员的中小学校比例达到90%左右，形成学校、社区、家庭、媒体、医疗卫生机构等联动的心理健康服务模式。</w:t>
      </w:r>
      <w:r>
        <w:rPr>
          <w:rFonts w:hint="eastAsia" w:asciiTheme="minorEastAsia" w:hAnsiTheme="minorEastAsia" w:cstheme="minorEastAsia"/>
          <w:color w:val="000000" w:themeColor="text1"/>
          <w:sz w:val="24"/>
          <w14:textFill>
            <w14:solidFill>
              <w14:schemeClr w14:val="tx1"/>
            </w14:solidFill>
          </w14:textFill>
        </w:rPr>
        <w:t>到2025年，全区学生体质健康标准达标优良率达到</w:t>
      </w:r>
      <w:r>
        <w:rPr>
          <w:rFonts w:asciiTheme="minorEastAsia" w:hAnsiTheme="minorEastAsia" w:cstheme="minorEastAsia"/>
          <w:color w:val="000000" w:themeColor="text1"/>
          <w:sz w:val="24"/>
          <w14:textFill>
            <w14:solidFill>
              <w14:schemeClr w14:val="tx1"/>
            </w14:solidFill>
          </w14:textFill>
        </w:rPr>
        <w:t>60%</w:t>
      </w:r>
      <w:r>
        <w:rPr>
          <w:rFonts w:hint="eastAsia" w:asciiTheme="minorEastAsia" w:hAnsiTheme="minorEastAsia" w:cstheme="minorEastAsia"/>
          <w:color w:val="000000" w:themeColor="text1"/>
          <w:sz w:val="24"/>
          <w14:textFill>
            <w14:solidFill>
              <w14:schemeClr w14:val="tx1"/>
            </w14:solidFill>
          </w14:textFill>
        </w:rPr>
        <w:t>左右，儿童青少年总体近视率力争每年降低</w:t>
      </w:r>
      <w:r>
        <w:rPr>
          <w:rFonts w:asciiTheme="minorEastAsia" w:hAnsiTheme="minorEastAsia" w:cstheme="minorEastAsia"/>
          <w:color w:val="000000" w:themeColor="text1"/>
          <w:sz w:val="24"/>
          <w14:textFill>
            <w14:solidFill>
              <w14:schemeClr w14:val="tx1"/>
            </w14:solidFill>
          </w14:textFill>
        </w:rPr>
        <w:t>1</w:t>
      </w:r>
      <w:r>
        <w:rPr>
          <w:rFonts w:hint="eastAsia" w:asciiTheme="minorEastAsia" w:hAnsiTheme="minorEastAsia" w:cstheme="minorEastAsia"/>
          <w:color w:val="000000" w:themeColor="text1"/>
          <w:sz w:val="24"/>
          <w14:textFill>
            <w14:solidFill>
              <w14:schemeClr w14:val="tx1"/>
            </w14:solidFill>
          </w14:textFill>
        </w:rPr>
        <w:t>个百分点。（牵头部门：区教育和体育局、区卫健局）</w:t>
      </w:r>
    </w:p>
    <w:p>
      <w:pPr>
        <w:spacing w:line="360" w:lineRule="auto"/>
        <w:ind w:firstLine="480" w:firstLineChars="200"/>
        <w:outlineLvl w:val="1"/>
        <w:rPr>
          <w:rFonts w:ascii="宋体" w:hAnsi="宋体" w:eastAsia="宋体" w:cs="宋体"/>
          <w:color w:val="000000" w:themeColor="text1"/>
          <w:sz w:val="24"/>
          <w14:textFill>
            <w14:solidFill>
              <w14:schemeClr w14:val="tx1"/>
            </w14:solidFill>
          </w14:textFill>
        </w:rPr>
      </w:pPr>
      <w:bookmarkStart w:id="44" w:name="_Toc26970"/>
      <w:bookmarkStart w:id="45" w:name="_Toc11750"/>
      <w:r>
        <w:rPr>
          <w:rFonts w:hint="eastAsia" w:ascii="黑体" w:hAnsi="黑体" w:eastAsia="黑体" w:cs="黑体"/>
          <w:color w:val="000000" w:themeColor="text1"/>
          <w:sz w:val="24"/>
          <w14:textFill>
            <w14:solidFill>
              <w14:schemeClr w14:val="tx1"/>
            </w14:solidFill>
          </w14:textFill>
        </w:rPr>
        <w:t>14.完善老年健康服务体系。</w:t>
      </w:r>
      <w:bookmarkEnd w:id="44"/>
      <w:bookmarkEnd w:id="45"/>
      <w:r>
        <w:rPr>
          <w:rFonts w:hint="eastAsia" w:ascii="宋体" w:hAnsi="宋体" w:eastAsia="宋体" w:cs="宋体"/>
          <w:color w:val="000000" w:themeColor="text1"/>
          <w:sz w:val="24"/>
          <w14:textFill>
            <w14:solidFill>
              <w14:schemeClr w14:val="tx1"/>
            </w14:solidFill>
          </w14:textFill>
        </w:rPr>
        <w:t>建立健全“居家为基础、社区为依托、机构为补充、医养相结合”的</w:t>
      </w:r>
      <w:r>
        <w:rPr>
          <w:rFonts w:ascii="宋体" w:hAnsi="宋体" w:eastAsia="宋体" w:cs="宋体"/>
          <w:color w:val="000000" w:themeColor="text1"/>
          <w:sz w:val="24"/>
          <w14:textFill>
            <w14:solidFill>
              <w14:schemeClr w14:val="tx1"/>
            </w14:solidFill>
          </w14:textFill>
        </w:rPr>
        <w:t>老年健康</w:t>
      </w:r>
      <w:r>
        <w:rPr>
          <w:rFonts w:hint="eastAsia" w:ascii="宋体" w:hAnsi="宋体" w:eastAsia="宋体" w:cs="宋体"/>
          <w:color w:val="000000" w:themeColor="text1"/>
          <w:sz w:val="24"/>
          <w14:textFill>
            <w14:solidFill>
              <w14:schemeClr w14:val="tx1"/>
            </w14:solidFill>
          </w14:textFill>
        </w:rPr>
        <w:t>养老</w:t>
      </w:r>
      <w:r>
        <w:rPr>
          <w:rFonts w:ascii="宋体" w:hAnsi="宋体" w:eastAsia="宋体" w:cs="宋体"/>
          <w:color w:val="000000" w:themeColor="text1"/>
          <w:sz w:val="24"/>
          <w14:textFill>
            <w14:solidFill>
              <w14:schemeClr w14:val="tx1"/>
            </w14:solidFill>
          </w14:textFill>
        </w:rPr>
        <w:t>服</w:t>
      </w:r>
      <w:r>
        <w:rPr>
          <w:rFonts w:hint="eastAsia" w:ascii="宋体" w:hAnsi="宋体" w:eastAsia="宋体" w:cs="宋体"/>
          <w:color w:val="000000" w:themeColor="text1"/>
          <w:sz w:val="24"/>
          <w14:textFill>
            <w14:solidFill>
              <w14:schemeClr w14:val="tx1"/>
            </w14:solidFill>
          </w14:textFill>
        </w:rPr>
        <w:t>务体系，探索建立多层次长期护理保障制度，推动发展中医药特色服务，推进医疗卫生与养老服务融合发展。加强老年人疾病预防、筛查和干预，持续提升老年人健康素养。提高基层医疗卫生机构康复、护理床位占比，探索建立居家护理服务模式，为老年人尤其是失能失智老人提供康复护理、长期照护等延续性服务。</w:t>
      </w:r>
      <w:r>
        <w:rPr>
          <w:bCs/>
          <w:iCs/>
          <w:color w:val="000000" w:themeColor="text1"/>
          <w:sz w:val="24"/>
          <w14:textFill>
            <w14:solidFill>
              <w14:schemeClr w14:val="tx1"/>
            </w14:solidFill>
          </w14:textFill>
        </w:rPr>
        <w:t>进一步优化老年人优待政策，持续实施“银龄安康工程”，稳步推进邻里互助智慧健康养老工作，创建老年友善医疗机构和老年友好</w:t>
      </w:r>
      <w:r>
        <w:rPr>
          <w:rFonts w:hint="eastAsia"/>
          <w:bCs/>
          <w:iCs/>
          <w:color w:val="000000" w:themeColor="text1"/>
          <w:sz w:val="24"/>
          <w14:textFill>
            <w14:solidFill>
              <w14:schemeClr w14:val="tx1"/>
            </w14:solidFill>
          </w14:textFill>
        </w:rPr>
        <w:t>型</w:t>
      </w:r>
      <w:r>
        <w:rPr>
          <w:bCs/>
          <w:iCs/>
          <w:color w:val="000000" w:themeColor="text1"/>
          <w:sz w:val="24"/>
          <w14:textFill>
            <w14:solidFill>
              <w14:schemeClr w14:val="tx1"/>
            </w14:solidFill>
          </w14:textFill>
        </w:rPr>
        <w:t>社区，切实增强老年人的获得感、幸福感、安全感。</w:t>
      </w:r>
      <w:r>
        <w:rPr>
          <w:rFonts w:hint="eastAsia" w:ascii="宋体" w:hAnsi="宋体" w:eastAsia="宋体" w:cs="宋体"/>
          <w:color w:val="000000" w:themeColor="text1"/>
          <w:sz w:val="24"/>
          <w14:textFill>
            <w14:solidFill>
              <w14:schemeClr w14:val="tx1"/>
            </w14:solidFill>
          </w14:textFill>
        </w:rPr>
        <w:t>到2025年，建立健全以健康教育、预防保健、疾病诊治、康复护理、长期照护、安宁疗护等为主的老年健康服务体系，建立安宁疗护工作机制，建成2个安宁疗护病区。（牵头单位：区卫生健康局、区民政局、区工业和信息化局、区住房和城乡建设局、区医保局）</w:t>
      </w:r>
    </w:p>
    <w:p>
      <w:pPr>
        <w:spacing w:line="360" w:lineRule="auto"/>
        <w:ind w:firstLine="480" w:firstLineChars="200"/>
        <w:outlineLvl w:val="1"/>
        <w:rPr>
          <w:rFonts w:asciiTheme="minorEastAsia" w:hAnsiTheme="minorEastAsia" w:cstheme="minorEastAsia"/>
          <w:color w:val="000000" w:themeColor="text1"/>
          <w:sz w:val="24"/>
          <w14:textFill>
            <w14:solidFill>
              <w14:schemeClr w14:val="tx1"/>
            </w14:solidFill>
          </w14:textFill>
        </w:rPr>
      </w:pPr>
      <w:bookmarkStart w:id="46" w:name="_Toc18071"/>
      <w:bookmarkStart w:id="47" w:name="_Toc26875"/>
      <w:r>
        <w:rPr>
          <w:rFonts w:hint="eastAsia" w:ascii="黑体" w:hAnsi="黑体" w:eastAsia="黑体" w:cs="黑体"/>
          <w:color w:val="000000" w:themeColor="text1"/>
          <w:sz w:val="24"/>
          <w14:textFill>
            <w14:solidFill>
              <w14:schemeClr w14:val="tx1"/>
            </w14:solidFill>
          </w14:textFill>
        </w:rPr>
        <w:t>15.加强职业健康保护。</w:t>
      </w:r>
      <w:bookmarkEnd w:id="46"/>
      <w:bookmarkEnd w:id="47"/>
      <w:r>
        <w:rPr>
          <w:rFonts w:hint="eastAsia" w:asciiTheme="minorEastAsia" w:hAnsiTheme="minorEastAsia" w:cstheme="minorEastAsia"/>
          <w:color w:val="000000" w:themeColor="text1"/>
          <w:sz w:val="24"/>
          <w14:textFill>
            <w14:solidFill>
              <w14:schemeClr w14:val="tx1"/>
            </w14:solidFill>
          </w14:textFill>
        </w:rPr>
        <w:t>用人单位落实主体责任，健全职业病防治管理体系，按规定设置或者指定职业卫生管理机构或者组织；开展职业病危害项目申报工作，及时、如实按规定向所在地卫生行政部门申报危害项目，接受监督；按有关规定主动落实工作场所职业病危害因素日常监测和定期检测与评价；对本单位劳动者进行岗前和在岗期间定期职业卫生培训和提升应急处置能力培训；在已报告尘肺病患者和新发尘肺病患者相对集中的区域开展尘肺病防治成果提升行动；建立对尘肺病发病用人单位分级管控机制，建立对接尘工龄不足5年的劳动者新发尘肺病例所在的企业进行重点监控；提升尘肺病等职业病诊治康复能力，加强救治救助社会保障。到2025年，工作场所职业病危害监测因素监测合格率达到</w:t>
      </w:r>
      <w:r>
        <w:rPr>
          <w:rFonts w:asciiTheme="minorEastAsia" w:hAnsiTheme="minorEastAsia" w:cstheme="minorEastAsia"/>
          <w:color w:val="000000" w:themeColor="text1"/>
          <w:sz w:val="24"/>
          <w14:textFill>
            <w14:solidFill>
              <w14:schemeClr w14:val="tx1"/>
            </w14:solidFill>
          </w14:textFill>
        </w:rPr>
        <w:t>85%</w:t>
      </w:r>
      <w:r>
        <w:rPr>
          <w:rFonts w:hint="eastAsia" w:asciiTheme="minorEastAsia" w:hAnsiTheme="minorEastAsia" w:cstheme="minorEastAsia"/>
          <w:color w:val="000000" w:themeColor="text1"/>
          <w:sz w:val="24"/>
          <w14:textFill>
            <w14:solidFill>
              <w14:schemeClr w14:val="tx1"/>
            </w14:solidFill>
          </w14:textFill>
        </w:rPr>
        <w:t>以上。（牵头部门：区卫生健康局、区发展和改革局、区工业和信息化局、区财政局、区民政局、区人力资源和社会保障局、区应急局、区总工会）</w:t>
      </w:r>
    </w:p>
    <w:p>
      <w:pPr>
        <w:spacing w:line="360" w:lineRule="auto"/>
        <w:ind w:firstLine="480" w:firstLineChars="200"/>
        <w:outlineLvl w:val="1"/>
        <w:rPr>
          <w:rFonts w:asciiTheme="minorEastAsia" w:hAnsiTheme="minorEastAsia" w:cstheme="minorEastAsia"/>
          <w:color w:val="000000" w:themeColor="text1"/>
          <w:sz w:val="24"/>
          <w14:textFill>
            <w14:solidFill>
              <w14:schemeClr w14:val="tx1"/>
            </w14:solidFill>
          </w14:textFill>
        </w:rPr>
      </w:pPr>
      <w:bookmarkStart w:id="48" w:name="_Toc18627"/>
      <w:bookmarkStart w:id="49" w:name="_Toc1833"/>
      <w:r>
        <w:rPr>
          <w:rFonts w:hint="eastAsia" w:ascii="黑体" w:hAnsi="黑体" w:eastAsia="黑体" w:cs="黑体"/>
          <w:color w:val="000000" w:themeColor="text1"/>
          <w:sz w:val="24"/>
          <w14:textFill>
            <w14:solidFill>
              <w14:schemeClr w14:val="tx1"/>
            </w14:solidFill>
          </w14:textFill>
        </w:rPr>
        <w:t>16.加强特殊人群卫生服务。</w:t>
      </w:r>
      <w:bookmarkEnd w:id="48"/>
      <w:bookmarkEnd w:id="49"/>
      <w:r>
        <w:rPr>
          <w:rFonts w:hint="eastAsia" w:asciiTheme="minorEastAsia" w:hAnsiTheme="minorEastAsia" w:cstheme="minorEastAsia"/>
          <w:color w:val="000000" w:themeColor="text1"/>
          <w:sz w:val="24"/>
          <w14:textFill>
            <w14:solidFill>
              <w14:schemeClr w14:val="tx1"/>
            </w14:solidFill>
          </w14:textFill>
        </w:rPr>
        <w:t>认真落实乡村振兴战略，严格落实“四不摘”要求，保持过渡期内健康扶贫主要政策总体稳定，持续推进巩固提升健康扶贫成果。优化疾病分类救治，持续做好脱贫人口家庭医生签约服务。加强与民政、医保、扶贫（乡村振兴）等部门协调配合，联合建立健全因病易返贫致贫风险人群监测预警和精准帮扶机制，通过加强人才培养、对口支援等形式，提高贫困地区医疗卫生服务水平，整合基本医保、大病保险、医疗救助、慈善救助资源，对患者实施一站式救助。实施减少残疾行动，开展全人群、全生命周期的残疾预防。进一步完善残疾人康复服务体系，加强残疾人康复和托养设施建设。进一步完善残疾儿童抢救性治疗和康复救助制度。进一步加强辅助器具推广和适配服务，建立残疾人基本型辅助器具适配补贴制度。对全面两孩政策调整前的独生子女家庭和农村计划生育双女家庭，继续实行现行各项奖励扶助制度和优惠政策。建立健全计划生育特殊家庭全方位帮扶保障制度，完善政府主导、社会组织参与的扶助关怀工作机制，维护好计划生育家庭合法权益。（牵头部门：区卫生健康局、区民政局、区残联、区医保局、区农业农村局）</w:t>
      </w:r>
    </w:p>
    <w:p>
      <w:pPr>
        <w:rPr>
          <w:rFonts w:asciiTheme="minorEastAsia" w:hAnsiTheme="minorEastAsia" w:cstheme="minorEastAsia"/>
          <w:b/>
          <w:bCs/>
          <w:color w:val="000000" w:themeColor="text1"/>
          <w:sz w:val="24"/>
          <w14:textFill>
            <w14:solidFill>
              <w14:schemeClr w14:val="tx1"/>
            </w14:solidFill>
          </w14:textFill>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60" w:lineRule="auto"/>
              <w:jc w:val="center"/>
              <w:rPr>
                <w:rFonts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sz w:val="24"/>
                <w14:textFill>
                  <w14:solidFill>
                    <w14:schemeClr w14:val="tx1"/>
                  </w14:solidFill>
                </w14:textFill>
              </w:rPr>
              <w:t>专栏3 全生命周期健康保障项目</w:t>
            </w:r>
          </w:p>
          <w:p>
            <w:pPr>
              <w:spacing w:line="360" w:lineRule="auto"/>
              <w:ind w:firstLine="482" w:firstLineChars="200"/>
              <w:rPr>
                <w:rFonts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b/>
                <w:bCs/>
                <w:color w:val="000000" w:themeColor="text1"/>
                <w:sz w:val="24"/>
                <w14:textFill>
                  <w14:solidFill>
                    <w14:schemeClr w14:val="tx1"/>
                  </w14:solidFill>
                </w14:textFill>
              </w:rPr>
              <w:t>老年健康服务体系：</w:t>
            </w:r>
            <w:r>
              <w:rPr>
                <w:rFonts w:hint="eastAsia" w:asciiTheme="minorEastAsia" w:hAnsiTheme="minorEastAsia" w:cstheme="minorEastAsia"/>
                <w:color w:val="000000" w:themeColor="text1"/>
                <w:sz w:val="24"/>
                <w14:textFill>
                  <w14:solidFill>
                    <w14:schemeClr w14:val="tx1"/>
                  </w14:solidFill>
                </w14:textFill>
              </w:rPr>
              <w:t>强化老年医学、康复医学学科建设，全区二级及以上综合医院和二甲及以上中医医院规范设置老年医学科的比例达到 60%以上。</w:t>
            </w:r>
            <w:r>
              <w:rPr>
                <w:rFonts w:hint="eastAsia" w:asciiTheme="minorEastAsia" w:hAnsiTheme="minorEastAsia" w:cstheme="minorEastAsia"/>
                <w:color w:val="000000" w:themeColor="text1"/>
                <w:kern w:val="0"/>
                <w:sz w:val="24"/>
                <w14:textFill>
                  <w14:solidFill>
                    <w14:schemeClr w14:val="tx1"/>
                  </w14:solidFill>
                </w14:textFill>
              </w:rPr>
              <w:t>推进落实安宁疗护试点工作，建成2个安宁疗护病区。</w:t>
            </w:r>
          </w:p>
          <w:p>
            <w:pPr>
              <w:spacing w:line="360" w:lineRule="auto"/>
              <w:ind w:firstLine="482" w:firstLineChars="200"/>
              <w:rPr>
                <w:rFonts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sz w:val="24"/>
                <w14:textFill>
                  <w14:solidFill>
                    <w14:schemeClr w14:val="tx1"/>
                  </w14:solidFill>
                </w14:textFill>
              </w:rPr>
              <w:t>婴幼儿照护服务体系：</w:t>
            </w:r>
            <w:r>
              <w:rPr>
                <w:rFonts w:hint="eastAsia" w:asciiTheme="minorEastAsia" w:hAnsiTheme="minorEastAsia" w:cstheme="minorEastAsia"/>
                <w:color w:val="000000" w:themeColor="text1"/>
                <w:sz w:val="24"/>
                <w14:textFill>
                  <w14:solidFill>
                    <w14:schemeClr w14:val="tx1"/>
                  </w14:solidFill>
                </w14:textFill>
              </w:rPr>
              <w:t>完善落实 3 岁以下婴幼儿照护服务政策制度，建立健全以家庭为基础、社区为依托、机构为补充的婴幼儿照护服务体系。二级及以上医院全面配置标准母婴室，推进流动母婴室建设。</w:t>
            </w:r>
          </w:p>
        </w:tc>
      </w:tr>
    </w:tbl>
    <w:p>
      <w:pPr>
        <w:rPr>
          <w:rFonts w:asciiTheme="minorEastAsia" w:hAnsiTheme="minorEastAsia" w:cstheme="minorEastAsia"/>
          <w:color w:val="000000" w:themeColor="text1"/>
          <w:sz w:val="24"/>
          <w14:textFill>
            <w14:solidFill>
              <w14:schemeClr w14:val="tx1"/>
            </w14:solidFill>
          </w14:textFill>
        </w:rPr>
      </w:pPr>
    </w:p>
    <w:p>
      <w:pPr>
        <w:spacing w:line="360" w:lineRule="auto"/>
        <w:ind w:firstLine="482" w:firstLineChars="200"/>
        <w:outlineLvl w:val="0"/>
        <w:rPr>
          <w:rFonts w:ascii="宋体" w:hAnsi="宋体" w:eastAsia="宋体"/>
          <w:b/>
          <w:bCs/>
          <w:color w:val="000000" w:themeColor="text1"/>
          <w:sz w:val="24"/>
          <w:szCs w:val="28"/>
          <w14:textFill>
            <w14:solidFill>
              <w14:schemeClr w14:val="tx1"/>
            </w14:solidFill>
          </w14:textFill>
        </w:rPr>
      </w:pPr>
      <w:bookmarkStart w:id="50" w:name="_Toc11717"/>
      <w:bookmarkStart w:id="51" w:name="_Toc22404"/>
      <w:r>
        <w:rPr>
          <w:rFonts w:hint="eastAsia" w:ascii="宋体" w:hAnsi="宋体" w:eastAsia="宋体"/>
          <w:b/>
          <w:bCs/>
          <w:color w:val="000000" w:themeColor="text1"/>
          <w:sz w:val="24"/>
          <w:szCs w:val="28"/>
          <w14:textFill>
            <w14:solidFill>
              <w14:schemeClr w14:val="tx1"/>
            </w14:solidFill>
          </w14:textFill>
        </w:rPr>
        <w:t>六、</w:t>
      </w:r>
      <w:r>
        <w:rPr>
          <w:rFonts w:ascii="宋体" w:hAnsi="宋体" w:eastAsia="宋体" w:cs="宋体"/>
          <w:b/>
          <w:bCs/>
          <w:color w:val="000000" w:themeColor="text1"/>
          <w:sz w:val="24"/>
          <w14:textFill>
            <w14:solidFill>
              <w14:schemeClr w14:val="tx1"/>
            </w14:solidFill>
          </w14:textFill>
        </w:rPr>
        <w:t>加快优质医疗资源扩容</w:t>
      </w:r>
      <w:r>
        <w:rPr>
          <w:rFonts w:hint="eastAsia" w:ascii="宋体" w:hAnsi="宋体" w:eastAsia="宋体"/>
          <w:b/>
          <w:bCs/>
          <w:color w:val="000000" w:themeColor="text1"/>
          <w:sz w:val="24"/>
          <w:szCs w:val="28"/>
          <w14:textFill>
            <w14:solidFill>
              <w14:schemeClr w14:val="tx1"/>
            </w14:solidFill>
          </w14:textFill>
        </w:rPr>
        <w:t>，优化资源配置结构</w:t>
      </w:r>
      <w:bookmarkEnd w:id="50"/>
      <w:bookmarkEnd w:id="51"/>
    </w:p>
    <w:p>
      <w:pPr>
        <w:spacing w:line="360" w:lineRule="auto"/>
        <w:ind w:firstLine="480" w:firstLineChars="200"/>
        <w:outlineLvl w:val="1"/>
        <w:rPr>
          <w:rFonts w:ascii="宋体" w:hAnsi="宋体" w:eastAsia="宋体"/>
          <w:color w:val="000000" w:themeColor="text1"/>
          <w:sz w:val="24"/>
          <w:szCs w:val="28"/>
          <w14:textFill>
            <w14:solidFill>
              <w14:schemeClr w14:val="tx1"/>
            </w14:solidFill>
          </w14:textFill>
        </w:rPr>
      </w:pPr>
      <w:bookmarkStart w:id="52" w:name="_Toc8045"/>
      <w:bookmarkStart w:id="53" w:name="_Toc2910"/>
      <w:r>
        <w:rPr>
          <w:rFonts w:hint="eastAsia" w:ascii="黑体" w:hAnsi="黑体" w:eastAsia="黑体" w:cs="黑体"/>
          <w:color w:val="000000" w:themeColor="text1"/>
          <w:sz w:val="24"/>
          <w:szCs w:val="28"/>
          <w14:textFill>
            <w14:solidFill>
              <w14:schemeClr w14:val="tx1"/>
            </w14:solidFill>
          </w14:textFill>
        </w:rPr>
        <w:t>17.扩充并有效利用辖区医疗资源</w:t>
      </w:r>
      <w:r>
        <w:rPr>
          <w:rFonts w:hint="eastAsia" w:ascii="宋体" w:hAnsi="宋体" w:eastAsia="宋体"/>
          <w:color w:val="000000" w:themeColor="text1"/>
          <w:sz w:val="24"/>
          <w:szCs w:val="28"/>
          <w14:textFill>
            <w14:solidFill>
              <w14:schemeClr w14:val="tx1"/>
            </w14:solidFill>
          </w14:textFill>
        </w:rPr>
        <w:t>。</w:t>
      </w:r>
      <w:bookmarkEnd w:id="52"/>
      <w:bookmarkEnd w:id="53"/>
      <w:r>
        <w:rPr>
          <w:rFonts w:hint="eastAsia" w:ascii="宋体" w:hAnsi="宋体" w:eastAsia="宋体"/>
          <w:color w:val="000000" w:themeColor="text1"/>
          <w:sz w:val="24"/>
          <w:szCs w:val="28"/>
          <w14:textFill>
            <w14:solidFill>
              <w14:schemeClr w14:val="tx1"/>
            </w14:solidFill>
          </w14:textFill>
        </w:rPr>
        <w:t>莱山区没有区属公立综合医院，“十四五”期间可以通过财政投入和政策扶持换取履行公益职能的方式，利用辖区内非区属二级和三级公立医院以及社会办医院的医疗资源，财政投入额度由卫生行政部门与各医疗机构之间协商确定。区政府牵头与毓璜顶医院莱山分院签订框架合作协议，强化毓璜顶医院莱山分院区属公立医院职能。进一步优化医疗资源配置，推进医疗资源共享和优质资源下沉，扩大医疗服务供给，落实医疗机构公共卫生责任。优化多元办医格局，落实社会办医扶持政策，鼓励社会力量举办的非营利性、资源稀缺的专科医疗机构，引导社会力量举办康复、护理、安宁疗护、妇儿等专科医疗机构，鼓励医学检查检验、血液透析等独立设置医疗机构，促进品牌化、专业化发展。鼓励社会办医院与公立医疗机构规范开展医疗协作。鼓励符合条件的执业医师开办诊所。加强基层医疗卫生服务机构建设，配齐配强人才队伍，筑牢村居服务网底。稳步扩大城乡家庭医生签约服务覆盖范围，提高签约服务质量。到2025年，初步建成体系完整、布局合理、分工明确、功能互补、密切协作、运行高效、富有韧性的优质高效整合型医疗卫生服务体系。（牵头单位：区卫生健康局、区发展和改革局、区人力资源和社会保障局、区住房和城乡建设局、区医保局、区科技局、区教育和体育局）</w:t>
      </w:r>
    </w:p>
    <w:p>
      <w:pPr>
        <w:spacing w:line="360" w:lineRule="auto"/>
        <w:ind w:firstLine="480" w:firstLineChars="200"/>
        <w:outlineLvl w:val="1"/>
        <w:rPr>
          <w:rFonts w:ascii="宋体" w:hAnsi="宋体" w:eastAsia="宋体"/>
          <w:color w:val="000000" w:themeColor="text1"/>
          <w:sz w:val="24"/>
          <w:szCs w:val="28"/>
          <w14:textFill>
            <w14:solidFill>
              <w14:schemeClr w14:val="tx1"/>
            </w14:solidFill>
          </w14:textFill>
        </w:rPr>
      </w:pPr>
      <w:bookmarkStart w:id="54" w:name="_Toc3892"/>
      <w:bookmarkStart w:id="55" w:name="_Toc16291"/>
      <w:r>
        <w:rPr>
          <w:rFonts w:hint="eastAsia" w:ascii="黑体" w:hAnsi="黑体" w:eastAsia="黑体" w:cs="黑体"/>
          <w:color w:val="000000" w:themeColor="text1"/>
          <w:sz w:val="24"/>
          <w:szCs w:val="28"/>
          <w14:textFill>
            <w14:solidFill>
              <w14:schemeClr w14:val="tx1"/>
            </w14:solidFill>
          </w14:textFill>
        </w:rPr>
        <w:t>18.重点加强基层卫生机构建设。</w:t>
      </w:r>
      <w:bookmarkEnd w:id="54"/>
      <w:bookmarkEnd w:id="55"/>
      <w:r>
        <w:rPr>
          <w:rFonts w:hint="eastAsia" w:ascii="宋体" w:hAnsi="宋体" w:eastAsia="宋体"/>
          <w:color w:val="000000" w:themeColor="text1"/>
          <w:sz w:val="24"/>
          <w:szCs w:val="28"/>
          <w14:textFill>
            <w14:solidFill>
              <w14:schemeClr w14:val="tx1"/>
            </w14:solidFill>
          </w14:textFill>
        </w:rPr>
        <w:t>加快推进社区卫生服务中心建设，实现社区卫生服务中心等级评价全覆盖，社区卫生服务中心全部达到国家基本标准，达到省提升标准和国家推荐标准占比分别不低于70%、20%，支持基层医疗卫生机构设施设备更新，重点配备DR、彩超、全自动生化分析仪以及与诊疗科目相匹配的其他设备。全面加强基层卫生人才队伍建设，提高全科医生、家庭医生服务能力和水平，提高基层门诊量占全区门诊总量的比例。完善乡村医生准入制度，积极推行“区招乡聘村用”制度，将村医队伍具备专科及以上学历或执业（助理）医师资格的比例提升到50%以上。</w:t>
      </w:r>
      <w:r>
        <w:rPr>
          <w:rFonts w:ascii="宋体" w:hAnsi="宋体" w:eastAsia="宋体" w:cs="宋体"/>
          <w:color w:val="000000" w:themeColor="text1"/>
          <w:sz w:val="24"/>
          <w14:textFill>
            <w14:solidFill>
              <w14:schemeClr w14:val="tx1"/>
            </w14:solidFill>
          </w14:textFill>
        </w:rPr>
        <w:t>常住人口3万以上的城市街道，至少设置1所社区卫生服务中心。</w:t>
      </w:r>
      <w:r>
        <w:rPr>
          <w:rFonts w:hint="eastAsia" w:ascii="宋体" w:hAnsi="宋体" w:eastAsia="宋体" w:cs="宋体"/>
          <w:color w:val="000000" w:themeColor="text1"/>
          <w:sz w:val="24"/>
          <w14:textFill>
            <w14:solidFill>
              <w14:schemeClr w14:val="tx1"/>
            </w14:solidFill>
          </w14:textFill>
        </w:rPr>
        <w:t>全区</w:t>
      </w:r>
      <w:r>
        <w:rPr>
          <w:rFonts w:ascii="宋体" w:hAnsi="宋体" w:eastAsia="宋体" w:cs="宋体"/>
          <w:color w:val="000000" w:themeColor="text1"/>
          <w:sz w:val="24"/>
          <w14:textFill>
            <w14:solidFill>
              <w14:schemeClr w14:val="tx1"/>
            </w14:solidFill>
          </w14:textFill>
        </w:rPr>
        <w:t>至少</w:t>
      </w:r>
      <w:r>
        <w:rPr>
          <w:rFonts w:hint="eastAsia" w:ascii="宋体" w:hAnsi="宋体" w:eastAsia="宋体" w:cs="宋体"/>
          <w:color w:val="000000" w:themeColor="text1"/>
          <w:sz w:val="24"/>
          <w14:textFill>
            <w14:solidFill>
              <w14:schemeClr w14:val="tx1"/>
            </w14:solidFill>
          </w14:textFill>
        </w:rPr>
        <w:t>新</w:t>
      </w:r>
      <w:r>
        <w:rPr>
          <w:rFonts w:ascii="宋体" w:hAnsi="宋体" w:eastAsia="宋体" w:cs="宋体"/>
          <w:color w:val="000000" w:themeColor="text1"/>
          <w:sz w:val="24"/>
          <w14:textFill>
            <w14:solidFill>
              <w14:schemeClr w14:val="tx1"/>
            </w14:solidFill>
          </w14:textFill>
        </w:rPr>
        <w:t>建1家社区医院。新建</w:t>
      </w:r>
      <w:r>
        <w:rPr>
          <w:rFonts w:hint="eastAsia" w:ascii="宋体" w:hAnsi="宋体" w:eastAsia="宋体" w:cs="宋体"/>
          <w:color w:val="000000" w:themeColor="text1"/>
          <w:sz w:val="24"/>
          <w14:textFill>
            <w14:solidFill>
              <w14:schemeClr w14:val="tx1"/>
            </w14:solidFill>
          </w14:textFill>
        </w:rPr>
        <w:t>的</w:t>
      </w:r>
      <w:r>
        <w:rPr>
          <w:rFonts w:ascii="宋体" w:hAnsi="宋体" w:eastAsia="宋体" w:cs="宋体"/>
          <w:color w:val="000000" w:themeColor="text1"/>
          <w:sz w:val="24"/>
          <w14:textFill>
            <w14:solidFill>
              <w14:schemeClr w14:val="tx1"/>
            </w14:solidFill>
          </w14:textFill>
        </w:rPr>
        <w:t>社区卫生服务中心参照社区医院标准建设。落实新建小区配套社区卫生服务用房政策，严格验收程序，保障机构业务用房。根据服务人口、服务半径、周边医疗资源配置等情况，合理增设社区卫生服务站，并实行社区卫生服务中心、站一体化管理。</w:t>
      </w:r>
      <w:r>
        <w:rPr>
          <w:rFonts w:hint="eastAsia" w:ascii="宋体" w:hAnsi="宋体" w:eastAsia="宋体"/>
          <w:color w:val="000000" w:themeColor="text1"/>
          <w:sz w:val="24"/>
          <w:szCs w:val="28"/>
          <w14:textFill>
            <w14:solidFill>
              <w14:schemeClr w14:val="tx1"/>
            </w14:solidFill>
          </w14:textFill>
        </w:rPr>
        <w:t>（牵头单位：区卫生健康局、区发展和改革局、区人力资源和社会保障局、区住房和城乡建设局、区医保局）</w:t>
      </w:r>
    </w:p>
    <w:p>
      <w:pPr>
        <w:spacing w:line="360" w:lineRule="auto"/>
        <w:ind w:firstLine="480" w:firstLineChars="200"/>
        <w:outlineLvl w:val="1"/>
        <w:rPr>
          <w:rFonts w:ascii="宋体" w:hAnsi="宋体" w:eastAsia="宋体" w:cs="宋体"/>
          <w:color w:val="000000" w:themeColor="text1"/>
          <w:sz w:val="24"/>
          <w14:textFill>
            <w14:solidFill>
              <w14:schemeClr w14:val="tx1"/>
            </w14:solidFill>
          </w14:textFill>
        </w:rPr>
      </w:pPr>
      <w:bookmarkStart w:id="56" w:name="_Toc21001"/>
      <w:bookmarkStart w:id="57" w:name="_Toc8916"/>
      <w:r>
        <w:rPr>
          <w:rFonts w:hint="eastAsia" w:ascii="黑体" w:hAnsi="黑体" w:eastAsia="黑体" w:cs="黑体"/>
          <w:color w:val="000000" w:themeColor="text1"/>
          <w:sz w:val="24"/>
          <w14:textFill>
            <w14:solidFill>
              <w14:schemeClr w14:val="tx1"/>
            </w14:solidFill>
          </w14:textFill>
        </w:rPr>
        <w:t>19.优化家庭医生签约服务。</w:t>
      </w:r>
      <w:bookmarkEnd w:id="56"/>
      <w:bookmarkEnd w:id="57"/>
      <w:r>
        <w:rPr>
          <w:rFonts w:hint="eastAsia" w:ascii="宋体" w:hAnsi="宋体" w:eastAsia="宋体" w:cs="宋体"/>
          <w:color w:val="000000" w:themeColor="text1"/>
          <w:sz w:val="24"/>
          <w14:textFill>
            <w14:solidFill>
              <w14:schemeClr w14:val="tx1"/>
            </w14:solidFill>
          </w14:textFill>
        </w:rPr>
        <w:t>搭建结构合理的家庭医生团队，</w:t>
      </w:r>
      <w:r>
        <w:rPr>
          <w:rFonts w:ascii="宋体" w:hAnsi="宋体" w:eastAsia="宋体" w:cs="宋体"/>
          <w:color w:val="000000" w:themeColor="text1"/>
          <w:sz w:val="24"/>
          <w14:textFill>
            <w14:solidFill>
              <w14:schemeClr w14:val="tx1"/>
            </w14:solidFill>
          </w14:textFill>
        </w:rPr>
        <w:t>完善家庭医生签约服务工作方案和绩效考核方案</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收取的家庭医生签约服务包费用不纳入绩效工资总额，70-80%用于家庭医生团队绩效分配，与签约数量、有效签约、有效履约、服务效果挂钩</w:t>
      </w:r>
      <w:r>
        <w:rPr>
          <w:rFonts w:hint="eastAsia" w:ascii="宋体" w:hAnsi="宋体" w:eastAsia="宋体" w:cs="宋体"/>
          <w:color w:val="000000" w:themeColor="text1"/>
          <w:sz w:val="24"/>
          <w14:textFill>
            <w14:solidFill>
              <w14:schemeClr w14:val="tx1"/>
            </w14:solidFill>
          </w14:textFill>
        </w:rPr>
        <w:t>，做到</w:t>
      </w:r>
      <w:r>
        <w:rPr>
          <w:rFonts w:ascii="宋体" w:hAnsi="宋体" w:eastAsia="宋体" w:cs="宋体"/>
          <w:color w:val="000000" w:themeColor="text1"/>
          <w:sz w:val="24"/>
          <w14:textFill>
            <w14:solidFill>
              <w14:schemeClr w14:val="tx1"/>
            </w14:solidFill>
          </w14:textFill>
        </w:rPr>
        <w:t>多劳多得，优绩优酬</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更好地激励家庭医生团队的积极性。加强人才培养，通过购买第三方服务方式配备家庭医生助理，</w:t>
      </w:r>
      <w:r>
        <w:rPr>
          <w:rFonts w:hint="eastAsia" w:ascii="宋体" w:hAnsi="宋体" w:eastAsia="宋体" w:cs="宋体"/>
          <w:color w:val="000000" w:themeColor="text1"/>
          <w:sz w:val="24"/>
          <w14:textFill>
            <w14:solidFill>
              <w14:schemeClr w14:val="tx1"/>
            </w14:solidFill>
          </w14:textFill>
        </w:rPr>
        <w:t>充实</w:t>
      </w:r>
      <w:r>
        <w:rPr>
          <w:rFonts w:ascii="宋体" w:hAnsi="宋体" w:eastAsia="宋体" w:cs="宋体"/>
          <w:color w:val="000000" w:themeColor="text1"/>
          <w:sz w:val="24"/>
          <w14:textFill>
            <w14:solidFill>
              <w14:schemeClr w14:val="tx1"/>
            </w14:solidFill>
          </w14:textFill>
        </w:rPr>
        <w:t>家庭医生服务团队。优化</w:t>
      </w:r>
      <w:r>
        <w:rPr>
          <w:rFonts w:hint="eastAsia" w:ascii="宋体" w:hAnsi="宋体" w:eastAsia="宋体" w:cs="宋体"/>
          <w:color w:val="000000" w:themeColor="text1"/>
          <w:sz w:val="24"/>
          <w14:textFill>
            <w14:solidFill>
              <w14:schemeClr w14:val="tx1"/>
            </w14:solidFill>
          </w14:textFill>
        </w:rPr>
        <w:t>家庭医生</w:t>
      </w:r>
      <w:r>
        <w:rPr>
          <w:rFonts w:ascii="宋体" w:hAnsi="宋体" w:eastAsia="宋体" w:cs="宋体"/>
          <w:color w:val="000000" w:themeColor="text1"/>
          <w:sz w:val="24"/>
          <w14:textFill>
            <w14:solidFill>
              <w14:schemeClr w14:val="tx1"/>
            </w14:solidFill>
          </w14:textFill>
        </w:rPr>
        <w:t>用药服务，试点扩大长处方药品目录范围。以提升居民家庭医生签约服务内涵和获得感为核心</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着重家庭医生签约服务包内涵建设和签约后服务质量</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引导居民从被动签约</w:t>
      </w:r>
      <w:r>
        <w:rPr>
          <w:rFonts w:hint="eastAsia" w:ascii="宋体" w:hAnsi="宋体" w:eastAsia="宋体" w:cs="宋体"/>
          <w:color w:val="000000" w:themeColor="text1"/>
          <w:sz w:val="24"/>
          <w14:textFill>
            <w14:solidFill>
              <w14:schemeClr w14:val="tx1"/>
            </w14:solidFill>
          </w14:textFill>
        </w:rPr>
        <w:t>向</w:t>
      </w:r>
      <w:r>
        <w:rPr>
          <w:rFonts w:ascii="宋体" w:hAnsi="宋体" w:eastAsia="宋体" w:cs="宋体"/>
          <w:color w:val="000000" w:themeColor="text1"/>
          <w:sz w:val="24"/>
          <w14:textFill>
            <w14:solidFill>
              <w14:schemeClr w14:val="tx1"/>
            </w14:solidFill>
          </w14:textFill>
        </w:rPr>
        <w:t>主动签约转变。</w:t>
      </w:r>
      <w:r>
        <w:rPr>
          <w:rFonts w:hint="eastAsia" w:ascii="宋体" w:hAnsi="宋体" w:eastAsia="宋体"/>
          <w:color w:val="000000" w:themeColor="text1"/>
          <w:sz w:val="24"/>
          <w:szCs w:val="28"/>
          <w14:textFill>
            <w14:solidFill>
              <w14:schemeClr w14:val="tx1"/>
            </w14:solidFill>
          </w14:textFill>
        </w:rPr>
        <w:t>（牵头单位：区卫生健康局、区人力资源和社会保障局、区医保局）</w:t>
      </w:r>
    </w:p>
    <w:p>
      <w:pPr>
        <w:spacing w:line="440" w:lineRule="exact"/>
        <w:ind w:firstLine="480" w:firstLineChars="200"/>
        <w:outlineLvl w:val="1"/>
        <w:rPr>
          <w:rFonts w:ascii="宋体" w:hAnsi="宋体" w:eastAsia="宋体" w:cs="宋体"/>
          <w:color w:val="000000" w:themeColor="text1"/>
          <w:sz w:val="24"/>
          <w14:textFill>
            <w14:solidFill>
              <w14:schemeClr w14:val="tx1"/>
            </w14:solidFill>
          </w14:textFill>
        </w:rPr>
      </w:pPr>
      <w:bookmarkStart w:id="58" w:name="_Toc22784"/>
      <w:bookmarkStart w:id="59" w:name="_Toc945"/>
      <w:r>
        <w:rPr>
          <w:rFonts w:hint="eastAsia" w:ascii="黑体" w:hAnsi="黑体" w:eastAsia="黑体" w:cs="黑体"/>
          <w:color w:val="000000" w:themeColor="text1"/>
          <w:sz w:val="24"/>
          <w14:textFill>
            <w14:solidFill>
              <w14:schemeClr w14:val="tx1"/>
            </w14:solidFill>
          </w14:textFill>
        </w:rPr>
        <w:t>20.推动智慧社区医院建设。</w:t>
      </w:r>
      <w:bookmarkEnd w:id="58"/>
      <w:bookmarkEnd w:id="59"/>
      <w:r>
        <w:rPr>
          <w:rFonts w:hint="eastAsia" w:ascii="宋体" w:hAnsi="宋体" w:eastAsia="宋体" w:cs="宋体"/>
          <w:color w:val="000000" w:themeColor="text1"/>
          <w:sz w:val="24"/>
          <w14:textFill>
            <w14:solidFill>
              <w14:schemeClr w14:val="tx1"/>
            </w14:solidFill>
          </w14:textFill>
        </w:rPr>
        <w:t>依托现有社区卫生服务中心</w:t>
      </w:r>
      <w:r>
        <w:rPr>
          <w:rFonts w:ascii="宋体" w:hAnsi="宋体" w:eastAsia="宋体" w:cs="宋体"/>
          <w:color w:val="000000" w:themeColor="text1"/>
          <w:sz w:val="24"/>
          <w14:textFill>
            <w14:solidFill>
              <w14:schemeClr w14:val="tx1"/>
            </w14:solidFill>
          </w14:textFill>
        </w:rPr>
        <w:t>推进智慧</w:t>
      </w:r>
      <w:r>
        <w:rPr>
          <w:rFonts w:hint="eastAsia" w:ascii="宋体" w:hAnsi="宋体" w:eastAsia="宋体" w:cs="宋体"/>
          <w:color w:val="000000" w:themeColor="text1"/>
          <w:sz w:val="24"/>
          <w14:textFill>
            <w14:solidFill>
              <w14:schemeClr w14:val="tx1"/>
            </w14:solidFill>
          </w14:textFill>
        </w:rPr>
        <w:t>社区</w:t>
      </w:r>
      <w:r>
        <w:rPr>
          <w:rFonts w:ascii="宋体" w:hAnsi="宋体" w:eastAsia="宋体" w:cs="宋体"/>
          <w:color w:val="000000" w:themeColor="text1"/>
          <w:sz w:val="24"/>
          <w14:textFill>
            <w14:solidFill>
              <w14:schemeClr w14:val="tx1"/>
            </w14:solidFill>
          </w14:textFill>
        </w:rPr>
        <w:t>医院建设</w:t>
      </w:r>
      <w:r>
        <w:rPr>
          <w:rFonts w:hint="eastAsia" w:ascii="宋体" w:hAnsi="宋体" w:eastAsia="宋体" w:cs="宋体"/>
          <w:color w:val="000000" w:themeColor="text1"/>
          <w:sz w:val="24"/>
          <w14:textFill>
            <w14:solidFill>
              <w14:schemeClr w14:val="tx1"/>
            </w14:solidFill>
          </w14:textFill>
        </w:rPr>
        <w:t>，进一步优化服务流程，</w:t>
      </w:r>
      <w:r>
        <w:rPr>
          <w:rFonts w:ascii="宋体" w:hAnsi="宋体" w:eastAsia="宋体" w:cs="宋体"/>
          <w:color w:val="000000" w:themeColor="text1"/>
          <w:sz w:val="24"/>
          <w14:textFill>
            <w14:solidFill>
              <w14:schemeClr w14:val="tx1"/>
            </w14:solidFill>
          </w14:textFill>
        </w:rPr>
        <w:t>搭建互联网信息平台</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开</w:t>
      </w:r>
      <w:r>
        <w:rPr>
          <w:rFonts w:hint="eastAsia" w:ascii="宋体" w:hAnsi="宋体" w:eastAsia="宋体" w:cs="宋体"/>
          <w:color w:val="000000" w:themeColor="text1"/>
          <w:sz w:val="24"/>
          <w14:textFill>
            <w14:solidFill>
              <w14:schemeClr w14:val="tx1"/>
            </w14:solidFill>
          </w14:textFill>
        </w:rPr>
        <w:t>展</w:t>
      </w:r>
      <w:r>
        <w:rPr>
          <w:rFonts w:ascii="宋体" w:hAnsi="宋体" w:eastAsia="宋体" w:cs="宋体"/>
          <w:color w:val="000000" w:themeColor="text1"/>
          <w:sz w:val="24"/>
          <w14:textFill>
            <w14:solidFill>
              <w14:schemeClr w14:val="tx1"/>
            </w14:solidFill>
          </w14:textFill>
        </w:rPr>
        <w:t>远程医疗、健康咨询、健康管理服务。创新</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互联网+</w:t>
      </w:r>
      <w:r>
        <w:rPr>
          <w:rFonts w:hint="eastAsia" w:ascii="宋体" w:hAnsi="宋体" w:eastAsia="宋体" w:cs="宋体"/>
          <w:color w:val="000000" w:themeColor="text1"/>
          <w:sz w:val="24"/>
          <w14:textFill>
            <w14:solidFill>
              <w14:schemeClr w14:val="tx1"/>
            </w14:solidFill>
          </w14:textFill>
        </w:rPr>
        <w:t>慢病管理”</w:t>
      </w:r>
      <w:r>
        <w:rPr>
          <w:rFonts w:ascii="宋体" w:hAnsi="宋体" w:eastAsia="宋体" w:cs="宋体"/>
          <w:color w:val="000000" w:themeColor="text1"/>
          <w:sz w:val="24"/>
          <w14:textFill>
            <w14:solidFill>
              <w14:schemeClr w14:val="tx1"/>
            </w14:solidFill>
          </w14:textFill>
        </w:rPr>
        <w:t>服务</w:t>
      </w:r>
      <w:r>
        <w:rPr>
          <w:rFonts w:hint="eastAsia" w:ascii="宋体" w:hAnsi="宋体" w:eastAsia="宋体" w:cs="宋体"/>
          <w:color w:val="000000" w:themeColor="text1"/>
          <w:sz w:val="24"/>
          <w14:textFill>
            <w14:solidFill>
              <w14:schemeClr w14:val="tx1"/>
            </w14:solidFill>
          </w14:textFill>
        </w:rPr>
        <w:t>模式，</w:t>
      </w:r>
      <w:r>
        <w:rPr>
          <w:rFonts w:ascii="宋体" w:hAnsi="宋体" w:eastAsia="宋体" w:cs="宋体"/>
          <w:color w:val="000000" w:themeColor="text1"/>
          <w:sz w:val="24"/>
          <w14:textFill>
            <w14:solidFill>
              <w14:schemeClr w14:val="tx1"/>
            </w14:solidFill>
          </w14:textFill>
        </w:rPr>
        <w:t>建立家庭医生为主、专科医生为选择的线上</w:t>
      </w:r>
      <w:r>
        <w:rPr>
          <w:rFonts w:hint="eastAsia" w:ascii="宋体" w:hAnsi="宋体" w:eastAsia="宋体" w:cs="宋体"/>
          <w:color w:val="000000" w:themeColor="text1"/>
          <w:sz w:val="24"/>
          <w14:textFill>
            <w14:solidFill>
              <w14:schemeClr w14:val="tx1"/>
            </w14:solidFill>
          </w14:textFill>
        </w:rPr>
        <w:t>慢</w:t>
      </w:r>
      <w:r>
        <w:rPr>
          <w:rFonts w:ascii="宋体" w:hAnsi="宋体" w:eastAsia="宋体" w:cs="宋体"/>
          <w:color w:val="000000" w:themeColor="text1"/>
          <w:sz w:val="24"/>
          <w14:textFill>
            <w14:solidFill>
              <w14:schemeClr w14:val="tx1"/>
            </w14:solidFill>
          </w14:textFill>
        </w:rPr>
        <w:t>病管理问诊团队</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完善</w:t>
      </w:r>
      <w:r>
        <w:rPr>
          <w:rFonts w:hint="eastAsia" w:ascii="宋体" w:hAnsi="宋体" w:eastAsia="宋体" w:cs="宋体"/>
          <w:color w:val="000000" w:themeColor="text1"/>
          <w:sz w:val="24"/>
          <w14:textFill>
            <w14:solidFill>
              <w14:schemeClr w14:val="tx1"/>
            </w14:solidFill>
          </w14:textFill>
        </w:rPr>
        <w:t>慢</w:t>
      </w:r>
      <w:r>
        <w:rPr>
          <w:rFonts w:ascii="宋体" w:hAnsi="宋体" w:eastAsia="宋体" w:cs="宋体"/>
          <w:color w:val="000000" w:themeColor="text1"/>
          <w:sz w:val="24"/>
          <w14:textFill>
            <w14:solidFill>
              <w14:schemeClr w14:val="tx1"/>
            </w14:solidFill>
          </w14:textFill>
        </w:rPr>
        <w:t>病管理</w:t>
      </w:r>
      <w:r>
        <w:rPr>
          <w:rFonts w:hint="eastAsia" w:ascii="宋体" w:hAnsi="宋体" w:eastAsia="宋体" w:cs="宋体"/>
          <w:color w:val="000000" w:themeColor="text1"/>
          <w:sz w:val="24"/>
          <w14:textFill>
            <w14:solidFill>
              <w14:schemeClr w14:val="tx1"/>
            </w14:solidFill>
          </w14:textFill>
        </w:rPr>
        <w:t>患者</w:t>
      </w:r>
      <w:r>
        <w:rPr>
          <w:rFonts w:ascii="宋体" w:hAnsi="宋体" w:eastAsia="宋体" w:cs="宋体"/>
          <w:color w:val="000000" w:themeColor="text1"/>
          <w:sz w:val="24"/>
          <w14:textFill>
            <w14:solidFill>
              <w14:schemeClr w14:val="tx1"/>
            </w14:solidFill>
          </w14:textFill>
        </w:rPr>
        <w:t>的线上和线下转诊机制。提供一定比例可</w:t>
      </w:r>
      <w:r>
        <w:rPr>
          <w:rFonts w:hint="eastAsia" w:ascii="宋体" w:hAnsi="宋体" w:eastAsia="宋体" w:cs="宋体"/>
          <w:color w:val="000000" w:themeColor="text1"/>
          <w:sz w:val="24"/>
          <w14:textFill>
            <w14:solidFill>
              <w14:schemeClr w14:val="tx1"/>
            </w14:solidFill>
          </w14:textFill>
        </w:rPr>
        <w:t>供</w:t>
      </w:r>
      <w:r>
        <w:rPr>
          <w:rFonts w:ascii="宋体" w:hAnsi="宋体" w:eastAsia="宋体" w:cs="宋体"/>
          <w:color w:val="000000" w:themeColor="text1"/>
          <w:sz w:val="24"/>
          <w14:textFill>
            <w14:solidFill>
              <w14:schemeClr w14:val="tx1"/>
            </w14:solidFill>
          </w14:textFill>
        </w:rPr>
        <w:t>选购的慢性病管理线上培训课程</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为培训效果</w:t>
      </w:r>
      <w:r>
        <w:rPr>
          <w:rFonts w:hint="eastAsia" w:ascii="宋体" w:hAnsi="宋体" w:eastAsia="宋体" w:cs="宋体"/>
          <w:color w:val="000000" w:themeColor="text1"/>
          <w:sz w:val="24"/>
          <w14:textFill>
            <w14:solidFill>
              <w14:schemeClr w14:val="tx1"/>
            </w14:solidFill>
          </w14:textFill>
        </w:rPr>
        <w:t>好</w:t>
      </w:r>
      <w:r>
        <w:rPr>
          <w:rFonts w:ascii="宋体" w:hAnsi="宋体" w:eastAsia="宋体" w:cs="宋体"/>
          <w:color w:val="000000" w:themeColor="text1"/>
          <w:sz w:val="24"/>
          <w14:textFill>
            <w14:solidFill>
              <w14:schemeClr w14:val="tx1"/>
            </w14:solidFill>
          </w14:textFill>
        </w:rPr>
        <w:t>的学员提供</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返现</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等激励措施。加强</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互联网+</w:t>
      </w:r>
      <w:r>
        <w:rPr>
          <w:rFonts w:hint="eastAsia" w:ascii="宋体" w:hAnsi="宋体" w:eastAsia="宋体" w:cs="宋体"/>
          <w:color w:val="000000" w:themeColor="text1"/>
          <w:sz w:val="24"/>
          <w14:textFill>
            <w14:solidFill>
              <w14:schemeClr w14:val="tx1"/>
            </w14:solidFill>
          </w14:textFill>
        </w:rPr>
        <w:t>慢病管理”服务</w:t>
      </w:r>
      <w:r>
        <w:rPr>
          <w:rFonts w:ascii="宋体" w:hAnsi="宋体" w:eastAsia="宋体" w:cs="宋体"/>
          <w:color w:val="000000" w:themeColor="text1"/>
          <w:sz w:val="24"/>
          <w14:textFill>
            <w14:solidFill>
              <w14:schemeClr w14:val="tx1"/>
            </w14:solidFill>
          </w14:textFill>
        </w:rPr>
        <w:t>的效果评价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olor w:val="000000" w:themeColor="text1"/>
          <w:sz w:val="24"/>
          <w:szCs w:val="28"/>
          <w14:textFill>
            <w14:solidFill>
              <w14:schemeClr w14:val="tx1"/>
            </w14:solidFill>
          </w14:textFill>
        </w:rPr>
        <w:t>（牵头单位：区卫生健康局、区医保局）</w:t>
      </w:r>
    </w:p>
    <w:p>
      <w:pPr>
        <w:rPr>
          <w:rFonts w:ascii="宋体" w:hAnsi="宋体" w:eastAsia="宋体" w:cs="宋体"/>
          <w:b/>
          <w:bCs/>
          <w:color w:val="000000" w:themeColor="text1"/>
          <w:sz w:val="24"/>
          <w14:textFill>
            <w14:solidFill>
              <w14:schemeClr w14:val="tx1"/>
            </w14:solidFill>
          </w14:textFill>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60" w:lineRule="auto"/>
              <w:jc w:val="center"/>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专栏4 医疗服务重点提升项目</w:t>
            </w:r>
          </w:p>
          <w:p>
            <w:pPr>
              <w:spacing w:line="360" w:lineRule="auto"/>
              <w:ind w:firstLine="482"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健全</w:t>
            </w:r>
            <w:r>
              <w:rPr>
                <w:rFonts w:ascii="宋体" w:hAnsi="宋体" w:eastAsia="宋体" w:cs="宋体"/>
                <w:b/>
                <w:bCs/>
                <w:color w:val="000000" w:themeColor="text1"/>
                <w:sz w:val="24"/>
                <w14:textFill>
                  <w14:solidFill>
                    <w14:schemeClr w14:val="tx1"/>
                  </w14:solidFill>
                </w14:textFill>
              </w:rPr>
              <w:t>家庭医生</w:t>
            </w:r>
            <w:r>
              <w:rPr>
                <w:rFonts w:hint="eastAsia" w:ascii="宋体" w:hAnsi="宋体" w:eastAsia="宋体" w:cs="宋体"/>
                <w:b/>
                <w:bCs/>
                <w:color w:val="000000" w:themeColor="text1"/>
                <w:sz w:val="24"/>
                <w14:textFill>
                  <w14:solidFill>
                    <w14:schemeClr w14:val="tx1"/>
                  </w14:solidFill>
                </w14:textFill>
              </w:rPr>
              <w:t>签约</w:t>
            </w:r>
            <w:r>
              <w:rPr>
                <w:rFonts w:ascii="宋体" w:hAnsi="宋体" w:eastAsia="宋体" w:cs="宋体"/>
                <w:b/>
                <w:bCs/>
                <w:color w:val="000000" w:themeColor="text1"/>
                <w:sz w:val="24"/>
                <w14:textFill>
                  <w14:solidFill>
                    <w14:schemeClr w14:val="tx1"/>
                  </w14:solidFill>
                </w14:textFill>
              </w:rPr>
              <w:t>服务</w:t>
            </w:r>
            <w:r>
              <w:rPr>
                <w:rFonts w:hint="eastAsia" w:ascii="宋体" w:hAnsi="宋体" w:eastAsia="宋体" w:cs="宋体"/>
                <w:b/>
                <w:bCs/>
                <w:color w:val="000000" w:themeColor="text1"/>
                <w:sz w:val="24"/>
                <w14:textFill>
                  <w14:solidFill>
                    <w14:schemeClr w14:val="tx1"/>
                  </w14:solidFill>
                </w14:textFill>
              </w:rPr>
              <w:t>团队：</w:t>
            </w:r>
            <w:r>
              <w:rPr>
                <w:rFonts w:hint="eastAsia" w:ascii="宋体" w:hAnsi="宋体" w:eastAsia="宋体" w:cs="宋体"/>
                <w:color w:val="000000" w:themeColor="text1"/>
                <w:sz w:val="24"/>
                <w14:textFill>
                  <w14:solidFill>
                    <w14:schemeClr w14:val="tx1"/>
                  </w14:solidFill>
                </w14:textFill>
              </w:rPr>
              <w:t>进一步搭建结构合理的家庭医生团队，</w:t>
            </w:r>
            <w:r>
              <w:rPr>
                <w:rFonts w:ascii="宋体" w:hAnsi="宋体" w:eastAsia="宋体" w:cs="宋体"/>
                <w:color w:val="000000" w:themeColor="text1"/>
                <w:sz w:val="24"/>
                <w14:textFill>
                  <w14:solidFill>
                    <w14:schemeClr w14:val="tx1"/>
                  </w14:solidFill>
                </w14:textFill>
              </w:rPr>
              <w:t>完善家庭医生签约服务工作方案和绩效考核方案</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收取的家庭医生签约服务包费用不纳入绩效工资总额，70-80%用于家庭医生团队绩效分配，与签约数量、有效签约、有效履约、服务效果挂钩</w:t>
            </w:r>
            <w:r>
              <w:rPr>
                <w:rFonts w:hint="eastAsia" w:ascii="宋体" w:hAnsi="宋体" w:eastAsia="宋体" w:cs="宋体"/>
                <w:color w:val="000000" w:themeColor="text1"/>
                <w:sz w:val="24"/>
                <w14:textFill>
                  <w14:solidFill>
                    <w14:schemeClr w14:val="tx1"/>
                  </w14:solidFill>
                </w14:textFill>
              </w:rPr>
              <w:t>，做到</w:t>
            </w:r>
            <w:r>
              <w:rPr>
                <w:rFonts w:ascii="宋体" w:hAnsi="宋体" w:eastAsia="宋体" w:cs="宋体"/>
                <w:color w:val="000000" w:themeColor="text1"/>
                <w:sz w:val="24"/>
                <w14:textFill>
                  <w14:solidFill>
                    <w14:schemeClr w14:val="tx1"/>
                  </w14:solidFill>
                </w14:textFill>
              </w:rPr>
              <w:t>多劳多得，优绩优酬</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更好地激励家庭医生团队的积极性。加强人才培养，通过购买第三方服务方式配备家庭医生助理，</w:t>
            </w:r>
            <w:r>
              <w:rPr>
                <w:rFonts w:hint="eastAsia" w:ascii="宋体" w:hAnsi="宋体" w:eastAsia="宋体" w:cs="宋体"/>
                <w:color w:val="000000" w:themeColor="text1"/>
                <w:sz w:val="24"/>
                <w14:textFill>
                  <w14:solidFill>
                    <w14:schemeClr w14:val="tx1"/>
                  </w14:solidFill>
                </w14:textFill>
              </w:rPr>
              <w:t>充实</w:t>
            </w:r>
            <w:r>
              <w:rPr>
                <w:rFonts w:ascii="宋体" w:hAnsi="宋体" w:eastAsia="宋体" w:cs="宋体"/>
                <w:color w:val="000000" w:themeColor="text1"/>
                <w:sz w:val="24"/>
                <w14:textFill>
                  <w14:solidFill>
                    <w14:schemeClr w14:val="tx1"/>
                  </w14:solidFill>
                </w14:textFill>
              </w:rPr>
              <w:t>家庭医生服务团队。</w:t>
            </w:r>
          </w:p>
          <w:p>
            <w:pPr>
              <w:spacing w:line="360" w:lineRule="auto"/>
              <w:ind w:firstLine="482" w:firstLineChars="200"/>
              <w:jc w:val="left"/>
              <w:rPr>
                <w:rFonts w:ascii="宋体" w:hAnsi="宋体" w:eastAsia="宋体" w:cs="宋体"/>
                <w:color w:val="000000" w:themeColor="text1"/>
                <w:sz w:val="24"/>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开展社区医防融合服务项目</w:t>
            </w:r>
            <w:r>
              <w:rPr>
                <w:rFonts w:hint="eastAsia" w:ascii="宋体" w:hAnsi="宋体" w:eastAsia="宋体" w:cs="宋体"/>
                <w:b/>
                <w:bCs/>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组建医防融合专家小组,在</w:t>
            </w:r>
            <w:r>
              <w:rPr>
                <w:rFonts w:hint="eastAsia" w:ascii="宋体" w:hAnsi="宋体" w:eastAsia="宋体" w:cs="宋体"/>
                <w:color w:val="000000" w:themeColor="text1"/>
                <w:sz w:val="24"/>
                <w14:textFill>
                  <w14:solidFill>
                    <w14:schemeClr w14:val="tx1"/>
                  </w14:solidFill>
                </w14:textFill>
              </w:rPr>
              <w:t>社区卫生服务</w:t>
            </w:r>
            <w:r>
              <w:rPr>
                <w:rFonts w:ascii="宋体" w:hAnsi="宋体" w:eastAsia="宋体" w:cs="宋体"/>
                <w:color w:val="000000" w:themeColor="text1"/>
                <w:sz w:val="24"/>
                <w14:textFill>
                  <w14:solidFill>
                    <w14:schemeClr w14:val="tx1"/>
                  </w14:solidFill>
                </w14:textFill>
              </w:rPr>
              <w:t>机构全面推广中医、运动</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营养、心理、睡眠、戒烟、限酒等“健康处方”。推进健康服务清单化</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提供个性化的社区健康服务项目推送、慢性病健康管理随访</w:t>
            </w:r>
            <w:r>
              <w:rPr>
                <w:rFonts w:hint="eastAsia" w:ascii="宋体" w:hAnsi="宋体" w:eastAsia="宋体" w:cs="宋体"/>
                <w:color w:val="000000" w:themeColor="text1"/>
                <w:sz w:val="24"/>
                <w14:textFill>
                  <w14:solidFill>
                    <w14:schemeClr w14:val="tx1"/>
                  </w14:solidFill>
                </w14:textFill>
              </w:rPr>
              <w:t>提醒，</w:t>
            </w:r>
            <w:r>
              <w:rPr>
                <w:rFonts w:ascii="宋体" w:hAnsi="宋体" w:eastAsia="宋体" w:cs="宋体"/>
                <w:color w:val="000000" w:themeColor="text1"/>
                <w:sz w:val="24"/>
                <w14:textFill>
                  <w14:solidFill>
                    <w14:schemeClr w14:val="tx1"/>
                  </w14:solidFill>
                </w14:textFill>
              </w:rPr>
              <w:t>高血压/</w:t>
            </w:r>
            <w:r>
              <w:rPr>
                <w:rFonts w:hint="eastAsia" w:ascii="宋体" w:hAnsi="宋体" w:eastAsia="宋体" w:cs="宋体"/>
                <w:color w:val="000000" w:themeColor="text1"/>
                <w:sz w:val="24"/>
                <w14:textFill>
                  <w14:solidFill>
                    <w14:schemeClr w14:val="tx1"/>
                  </w14:solidFill>
                </w14:textFill>
              </w:rPr>
              <w:t>糖尿病</w:t>
            </w:r>
            <w:r>
              <w:rPr>
                <w:rFonts w:ascii="宋体" w:hAnsi="宋体" w:eastAsia="宋体" w:cs="宋体"/>
                <w:color w:val="000000" w:themeColor="text1"/>
                <w:sz w:val="24"/>
                <w14:textFill>
                  <w14:solidFill>
                    <w14:schemeClr w14:val="tx1"/>
                  </w14:solidFill>
                </w14:textFill>
              </w:rPr>
              <w:t>规范管理</w:t>
            </w:r>
            <w:r>
              <w:rPr>
                <w:rFonts w:hint="eastAsia" w:ascii="宋体" w:hAnsi="宋体" w:eastAsia="宋体" w:cs="宋体"/>
                <w:color w:val="000000" w:themeColor="text1"/>
                <w:sz w:val="24"/>
                <w14:textFill>
                  <w14:solidFill>
                    <w14:schemeClr w14:val="tx1"/>
                  </w14:solidFill>
                </w14:textFill>
              </w:rPr>
              <w:t>率</w:t>
            </w:r>
            <w:r>
              <w:rPr>
                <w:rFonts w:ascii="宋体" w:hAnsi="宋体" w:eastAsia="宋体" w:cs="宋体"/>
                <w:color w:val="000000" w:themeColor="text1"/>
                <w:sz w:val="24"/>
                <w14:textFill>
                  <w14:solidFill>
                    <w14:schemeClr w14:val="tx1"/>
                  </w14:solidFill>
                </w14:textFill>
              </w:rPr>
              <w:t>达到</w:t>
            </w:r>
            <w:r>
              <w:rPr>
                <w:rFonts w:hint="eastAsia" w:ascii="宋体" w:hAnsi="宋体" w:eastAsia="宋体" w:cs="宋体"/>
                <w:color w:val="000000" w:themeColor="text1"/>
                <w:sz w:val="24"/>
                <w14:textFill>
                  <w14:solidFill>
                    <w14:schemeClr w14:val="tx1"/>
                  </w14:solidFill>
                </w14:textFill>
              </w:rPr>
              <w:t>7</w:t>
            </w:r>
            <w:r>
              <w:rPr>
                <w:rFonts w:ascii="宋体" w:hAnsi="宋体" w:eastAsia="宋体" w:cs="宋体"/>
                <w:color w:val="000000" w:themeColor="text1"/>
                <w:sz w:val="24"/>
                <w14:textFill>
                  <w14:solidFill>
                    <w14:schemeClr w14:val="tx1"/>
                  </w14:solidFill>
                </w14:textFill>
              </w:rPr>
              <w:t>0%以上。</w:t>
            </w:r>
          </w:p>
        </w:tc>
      </w:tr>
    </w:tbl>
    <w:p>
      <w:pPr>
        <w:ind w:firstLine="482" w:firstLineChars="200"/>
        <w:rPr>
          <w:rFonts w:ascii="宋体" w:hAnsi="宋体" w:eastAsia="宋体" w:cs="宋体"/>
          <w:b/>
          <w:bCs/>
          <w:color w:val="000000" w:themeColor="text1"/>
          <w:sz w:val="24"/>
          <w14:textFill>
            <w14:solidFill>
              <w14:schemeClr w14:val="tx1"/>
            </w14:solidFill>
          </w14:textFill>
        </w:rPr>
      </w:pPr>
    </w:p>
    <w:p>
      <w:pPr>
        <w:spacing w:line="360" w:lineRule="auto"/>
        <w:ind w:firstLine="482" w:firstLineChars="200"/>
        <w:outlineLvl w:val="0"/>
        <w:rPr>
          <w:rFonts w:ascii="宋体" w:hAnsi="宋体" w:eastAsia="宋体" w:cs="宋体"/>
          <w:b/>
          <w:bCs/>
          <w:color w:val="000000" w:themeColor="text1"/>
          <w:sz w:val="24"/>
          <w14:textFill>
            <w14:solidFill>
              <w14:schemeClr w14:val="tx1"/>
            </w14:solidFill>
          </w14:textFill>
        </w:rPr>
      </w:pPr>
      <w:bookmarkStart w:id="60" w:name="_Toc25209"/>
      <w:bookmarkStart w:id="61" w:name="_Toc1001"/>
      <w:r>
        <w:rPr>
          <w:rFonts w:hint="eastAsia" w:ascii="宋体" w:hAnsi="宋体" w:eastAsia="宋体" w:cs="宋体"/>
          <w:b/>
          <w:bCs/>
          <w:color w:val="000000" w:themeColor="text1"/>
          <w:sz w:val="24"/>
          <w14:textFill>
            <w14:solidFill>
              <w14:schemeClr w14:val="tx1"/>
            </w14:solidFill>
          </w14:textFill>
        </w:rPr>
        <w:t>七、持续深化医药卫生体制改革</w:t>
      </w:r>
      <w:bookmarkEnd w:id="60"/>
      <w:bookmarkEnd w:id="61"/>
    </w:p>
    <w:p>
      <w:pPr>
        <w:spacing w:line="360" w:lineRule="auto"/>
        <w:ind w:firstLine="480" w:firstLineChars="200"/>
        <w:outlineLvl w:val="1"/>
        <w:rPr>
          <w:rFonts w:ascii="宋体" w:hAnsi="宋体" w:eastAsia="宋体" w:cs="宋体"/>
          <w:color w:val="000000" w:themeColor="text1"/>
          <w:sz w:val="24"/>
          <w14:textFill>
            <w14:solidFill>
              <w14:schemeClr w14:val="tx1"/>
            </w14:solidFill>
          </w14:textFill>
        </w:rPr>
      </w:pPr>
      <w:bookmarkStart w:id="62" w:name="_Toc31025"/>
      <w:bookmarkStart w:id="63" w:name="_Toc8181"/>
      <w:r>
        <w:rPr>
          <w:rFonts w:hint="eastAsia" w:ascii="黑体" w:hAnsi="黑体" w:eastAsia="黑体" w:cs="黑体"/>
          <w:color w:val="000000" w:themeColor="text1"/>
          <w:sz w:val="24"/>
          <w14:textFill>
            <w14:solidFill>
              <w14:schemeClr w14:val="tx1"/>
            </w14:solidFill>
          </w14:textFill>
        </w:rPr>
        <w:t>21.加快建设分级诊疗体系。</w:t>
      </w:r>
      <w:bookmarkEnd w:id="62"/>
      <w:bookmarkEnd w:id="63"/>
      <w:r>
        <w:rPr>
          <w:rFonts w:hint="eastAsia" w:ascii="宋体" w:hAnsi="宋体" w:eastAsia="宋体" w:cs="宋体"/>
          <w:color w:val="000000" w:themeColor="text1"/>
          <w:sz w:val="24"/>
          <w14:textFill>
            <w14:solidFill>
              <w14:schemeClr w14:val="tx1"/>
            </w14:solidFill>
          </w14:textFill>
        </w:rPr>
        <w:t>充分利用辖区内二级和三级医院资源，推进医疗联合体建设，推动责任清单和任务清单落地，逐步提高县域就诊率和基层医疗卫生机构就诊率。大力招聘和培养全科医生，配置标准达到国家要求。</w:t>
      </w:r>
      <w:r>
        <w:rPr>
          <w:rFonts w:hint="eastAsia" w:ascii="宋体" w:hAnsi="宋体" w:eastAsia="宋体" w:cs="宋体"/>
          <w:color w:val="000000" w:themeColor="text1"/>
          <w:sz w:val="24"/>
          <w:shd w:val="clear" w:color="auto" w:fill="FFFFFF"/>
          <w14:textFill>
            <w14:solidFill>
              <w14:schemeClr w14:val="tx1"/>
            </w14:solidFill>
          </w14:textFill>
        </w:rPr>
        <w:t>在基层医疗卫生机构全面推行“公益一类财政保障，公益二类绩效管理”，完善基层机构绩效工资制度，根据地方实际细化“两个允许”，</w:t>
      </w:r>
      <w:r>
        <w:rPr>
          <w:rFonts w:ascii="宋体" w:hAnsi="宋体" w:eastAsia="宋体" w:cs="宋体"/>
          <w:color w:val="000000" w:themeColor="text1"/>
          <w:sz w:val="24"/>
          <w14:textFill>
            <w14:solidFill>
              <w14:schemeClr w14:val="tx1"/>
            </w14:solidFill>
          </w14:textFill>
        </w:rPr>
        <w:t>统筹平衡基层医疗卫生机构与当地</w:t>
      </w:r>
      <w:r>
        <w:rPr>
          <w:rFonts w:hint="eastAsia" w:ascii="宋体" w:hAnsi="宋体" w:eastAsia="宋体" w:cs="宋体"/>
          <w:color w:val="000000" w:themeColor="text1"/>
          <w:sz w:val="24"/>
          <w14:textFill>
            <w14:solidFill>
              <w14:schemeClr w14:val="tx1"/>
            </w14:solidFill>
          </w14:textFill>
        </w:rPr>
        <w:t>区</w:t>
      </w:r>
      <w:r>
        <w:rPr>
          <w:rFonts w:ascii="宋体" w:hAnsi="宋体" w:eastAsia="宋体" w:cs="宋体"/>
          <w:color w:val="000000" w:themeColor="text1"/>
          <w:sz w:val="24"/>
          <w14:textFill>
            <w14:solidFill>
              <w14:schemeClr w14:val="tx1"/>
            </w14:solidFill>
          </w14:textFill>
        </w:rPr>
        <w:t>级</w:t>
      </w:r>
      <w:r>
        <w:rPr>
          <w:rFonts w:hint="eastAsia" w:ascii="宋体" w:hAnsi="宋体" w:eastAsia="宋体" w:cs="宋体"/>
          <w:color w:val="000000" w:themeColor="text1"/>
          <w:sz w:val="24"/>
          <w14:textFill>
            <w14:solidFill>
              <w14:schemeClr w14:val="tx1"/>
            </w14:solidFill>
          </w14:textFill>
        </w:rPr>
        <w:t>医疗卫生机构</w:t>
      </w:r>
      <w:r>
        <w:rPr>
          <w:rFonts w:ascii="宋体" w:hAnsi="宋体" w:eastAsia="宋体" w:cs="宋体"/>
          <w:color w:val="000000" w:themeColor="text1"/>
          <w:sz w:val="24"/>
          <w14:textFill>
            <w14:solidFill>
              <w14:schemeClr w14:val="tx1"/>
            </w14:solidFill>
          </w14:textFill>
        </w:rPr>
        <w:t>绩效工资水平的关系，合理确定绩效工资总量和水平，基层机构人员收入逐步达到</w:t>
      </w:r>
      <w:r>
        <w:rPr>
          <w:rFonts w:hint="eastAsia" w:ascii="宋体" w:hAnsi="宋体" w:eastAsia="宋体" w:cs="宋体"/>
          <w:color w:val="000000" w:themeColor="text1"/>
          <w:sz w:val="24"/>
          <w14:textFill>
            <w14:solidFill>
              <w14:schemeClr w14:val="tx1"/>
            </w14:solidFill>
          </w14:textFill>
        </w:rPr>
        <w:t>区</w:t>
      </w:r>
      <w:r>
        <w:rPr>
          <w:rFonts w:ascii="宋体" w:hAnsi="宋体" w:eastAsia="宋体" w:cs="宋体"/>
          <w:color w:val="000000" w:themeColor="text1"/>
          <w:sz w:val="24"/>
          <w14:textFill>
            <w14:solidFill>
              <w14:schemeClr w14:val="tx1"/>
            </w14:solidFill>
          </w14:textFill>
        </w:rPr>
        <w:t>级</w:t>
      </w:r>
      <w:r>
        <w:rPr>
          <w:rFonts w:hint="eastAsia" w:ascii="宋体" w:hAnsi="宋体" w:eastAsia="宋体" w:cs="宋体"/>
          <w:color w:val="000000" w:themeColor="text1"/>
          <w:sz w:val="24"/>
          <w14:textFill>
            <w14:solidFill>
              <w14:schemeClr w14:val="tx1"/>
            </w14:solidFill>
          </w14:textFill>
        </w:rPr>
        <w:t>医疗卫生机构</w:t>
      </w:r>
      <w:r>
        <w:rPr>
          <w:rFonts w:ascii="宋体" w:hAnsi="宋体" w:eastAsia="宋体" w:cs="宋体"/>
          <w:color w:val="000000" w:themeColor="text1"/>
          <w:sz w:val="24"/>
          <w14:textFill>
            <w14:solidFill>
              <w14:schemeClr w14:val="tx1"/>
            </w14:solidFill>
          </w14:textFill>
        </w:rPr>
        <w:t>同职级人员水平。</w:t>
      </w:r>
      <w:r>
        <w:rPr>
          <w:rFonts w:hint="eastAsia" w:ascii="宋体" w:hAnsi="宋体" w:eastAsia="宋体" w:cs="宋体"/>
          <w:color w:val="000000" w:themeColor="text1"/>
          <w:sz w:val="24"/>
          <w14:textFill>
            <w14:solidFill>
              <w14:schemeClr w14:val="tx1"/>
            </w14:solidFill>
          </w14:textFill>
        </w:rPr>
        <w:t>（牵头单位：区卫生健康局、区人力资源和社会保障局、区医保局、区发展和改革局、区财政局）</w:t>
      </w:r>
    </w:p>
    <w:p>
      <w:pPr>
        <w:spacing w:line="360" w:lineRule="auto"/>
        <w:ind w:firstLine="480" w:firstLineChars="200"/>
        <w:outlineLvl w:val="1"/>
        <w:rPr>
          <w:rFonts w:ascii="宋体" w:hAnsi="宋体" w:eastAsia="宋体" w:cs="宋体"/>
          <w:color w:val="000000" w:themeColor="text1"/>
          <w:sz w:val="24"/>
          <w14:textFill>
            <w14:solidFill>
              <w14:schemeClr w14:val="tx1"/>
            </w14:solidFill>
          </w14:textFill>
        </w:rPr>
      </w:pPr>
      <w:bookmarkStart w:id="64" w:name="_Toc54"/>
      <w:bookmarkStart w:id="65" w:name="_Toc22269"/>
      <w:r>
        <w:rPr>
          <w:rFonts w:hint="eastAsia" w:ascii="黑体" w:hAnsi="黑体" w:eastAsia="黑体" w:cs="黑体"/>
          <w:color w:val="000000" w:themeColor="text1"/>
          <w:sz w:val="24"/>
          <w14:textFill>
            <w14:solidFill>
              <w14:schemeClr w14:val="tx1"/>
            </w14:solidFill>
          </w14:textFill>
        </w:rPr>
        <w:t>22.强化“三医联动”和系统集成改革。</w:t>
      </w:r>
      <w:bookmarkEnd w:id="64"/>
      <w:bookmarkEnd w:id="65"/>
      <w:r>
        <w:rPr>
          <w:rFonts w:hint="eastAsia" w:ascii="宋体" w:hAnsi="宋体" w:eastAsia="宋体" w:cs="宋体"/>
          <w:color w:val="000000" w:themeColor="text1"/>
          <w:sz w:val="24"/>
          <w14:textFill>
            <w14:solidFill>
              <w14:schemeClr w14:val="tx1"/>
            </w14:solidFill>
          </w14:textFill>
        </w:rPr>
        <w:t>持续深入推进“三医联动”系统集成改革，完善高效有力的医改领导体制和组织推进机制，坚定“控总量、腾空间、调结构、保衔接、强监管”改革路径，发挥重点领域和关键环节对全局改革的示范、突破和带动作用。落实医保总额预付、结余留用、合理超支分担政策，健全医保经办机构与医疗机构之间的协商谈判机制，合理确定、动态调整医保基金总额预算指标。研究出台全区范围内紧密型医联体（含医共体）医保总额控制办法，积极推进医联体（含医共体）医保管理相关工作。落实好“医共体内转诊患者连续计算起付线、院内制剂可在医共体内使用并纳入医保支付”等倾斜政策。落实“互联网+”医疗服务价格和医保支付政策，构建城乡居民和贫困家庭共享优质医保服务新格局。进一步完善短缺药品监测预警和分级应对机制，全面贯彻落实国家基本药物制度和政策，强化基本药物主导地位，加快推动形成以基本药物为主导的“1+X”用药模式。建立医联体内药品调剂供应使用机制，保证下转至基层医疗卫生机构诊疗患者的合理用药。（牵头单位：区医保局、区卫生健康局、区发展和改革局）</w:t>
      </w:r>
    </w:p>
    <w:p>
      <w:pPr>
        <w:jc w:val="center"/>
        <w:rPr>
          <w:rFonts w:ascii="宋体" w:hAnsi="宋体" w:eastAsia="宋体" w:cs="宋体"/>
          <w:b/>
          <w:bCs/>
          <w:color w:val="000000" w:themeColor="text1"/>
          <w:sz w:val="24"/>
          <w14:textFill>
            <w14:solidFill>
              <w14:schemeClr w14:val="tx1"/>
            </w14:solidFill>
          </w14:textFill>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60" w:lineRule="auto"/>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专栏5 推进人事薪酬制度改革</w:t>
            </w:r>
          </w:p>
          <w:p>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立足</w:t>
            </w:r>
            <w:r>
              <w:rPr>
                <w:rFonts w:hint="eastAsia" w:ascii="宋体" w:hAnsi="宋体" w:eastAsia="宋体" w:cs="宋体"/>
                <w:color w:val="000000" w:themeColor="text1"/>
                <w:sz w:val="24"/>
                <w14:textFill>
                  <w14:solidFill>
                    <w14:schemeClr w14:val="tx1"/>
                  </w14:solidFill>
                </w14:textFill>
              </w:rPr>
              <w:t>莱山</w:t>
            </w:r>
            <w:r>
              <w:rPr>
                <w:rFonts w:ascii="宋体" w:hAnsi="宋体" w:eastAsia="宋体" w:cs="宋体"/>
                <w:color w:val="000000" w:themeColor="text1"/>
                <w:sz w:val="24"/>
                <w14:textFill>
                  <w14:solidFill>
                    <w14:schemeClr w14:val="tx1"/>
                  </w14:solidFill>
                </w14:textFill>
              </w:rPr>
              <w:t>实际</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进一步全面深入推进</w:t>
            </w:r>
            <w:r>
              <w:rPr>
                <w:rFonts w:hint="eastAsia" w:ascii="宋体" w:hAnsi="宋体" w:eastAsia="宋体" w:cs="宋体"/>
                <w:color w:val="000000" w:themeColor="text1"/>
                <w:sz w:val="24"/>
                <w14:textFill>
                  <w14:solidFill>
                    <w14:schemeClr w14:val="tx1"/>
                  </w14:solidFill>
                </w14:textFill>
              </w:rPr>
              <w:t>卫生系统</w:t>
            </w:r>
            <w:r>
              <w:rPr>
                <w:rFonts w:ascii="宋体" w:hAnsi="宋体" w:eastAsia="宋体" w:cs="宋体"/>
                <w:color w:val="000000" w:themeColor="text1"/>
                <w:sz w:val="24"/>
                <w14:textFill>
                  <w14:solidFill>
                    <w14:schemeClr w14:val="tx1"/>
                  </w14:solidFill>
                </w14:textFill>
              </w:rPr>
              <w:t>人事</w:t>
            </w:r>
            <w:r>
              <w:rPr>
                <w:rFonts w:hint="eastAsia" w:ascii="宋体" w:hAnsi="宋体" w:eastAsia="宋体" w:cs="宋体"/>
                <w:color w:val="000000" w:themeColor="text1"/>
                <w:sz w:val="24"/>
                <w14:textFill>
                  <w14:solidFill>
                    <w14:schemeClr w14:val="tx1"/>
                  </w14:solidFill>
                </w14:textFill>
              </w:rPr>
              <w:t>薪酬</w:t>
            </w:r>
            <w:r>
              <w:rPr>
                <w:rFonts w:ascii="宋体" w:hAnsi="宋体" w:eastAsia="宋体" w:cs="宋体"/>
                <w:color w:val="000000" w:themeColor="text1"/>
                <w:sz w:val="24"/>
                <w14:textFill>
                  <w14:solidFill>
                    <w14:schemeClr w14:val="tx1"/>
                  </w14:solidFill>
                </w14:textFill>
              </w:rPr>
              <w:t>制度改革</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shd w:val="clear" w:color="auto" w:fill="FFFFFF"/>
                <w14:textFill>
                  <w14:solidFill>
                    <w14:schemeClr w14:val="tx1"/>
                  </w14:solidFill>
                </w14:textFill>
              </w:rPr>
              <w:t>逐步建立主要体现岗位职责的薪酬体系，实行以岗定责、以岗定薪、责薪相适、考核兑现。</w:t>
            </w:r>
            <w:r>
              <w:rPr>
                <w:rFonts w:ascii="宋体" w:hAnsi="宋体" w:eastAsia="宋体" w:cs="宋体"/>
                <w:color w:val="000000" w:themeColor="text1"/>
                <w:sz w:val="24"/>
                <w14:textFill>
                  <w14:solidFill>
                    <w14:schemeClr w14:val="tx1"/>
                  </w14:solidFill>
                </w14:textFill>
              </w:rPr>
              <w:t>健全人员能进能出、岗位能上能下、收入能</w:t>
            </w:r>
            <w:r>
              <w:rPr>
                <w:rFonts w:hint="eastAsia" w:ascii="宋体" w:hAnsi="宋体" w:eastAsia="宋体" w:cs="宋体"/>
                <w:color w:val="000000" w:themeColor="text1"/>
                <w:sz w:val="24"/>
                <w14:textFill>
                  <w14:solidFill>
                    <w14:schemeClr w14:val="tx1"/>
                  </w14:solidFill>
                </w14:textFill>
              </w:rPr>
              <w:t>升</w:t>
            </w:r>
            <w:r>
              <w:rPr>
                <w:rFonts w:ascii="宋体" w:hAnsi="宋体" w:eastAsia="宋体" w:cs="宋体"/>
                <w:color w:val="000000" w:themeColor="text1"/>
                <w:sz w:val="24"/>
                <w14:textFill>
                  <w14:solidFill>
                    <w14:schemeClr w14:val="tx1"/>
                  </w14:solidFill>
                </w14:textFill>
              </w:rPr>
              <w:t>能降、市场化的选人用人机制</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建立以</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维护公益性、调动积极性、保障可持续”为原则的考核和激励机制。</w:t>
            </w:r>
          </w:p>
        </w:tc>
      </w:tr>
    </w:tbl>
    <w:p>
      <w:pPr>
        <w:rPr>
          <w:rFonts w:ascii="宋体" w:hAnsi="宋体" w:eastAsia="宋体" w:cs="宋体"/>
          <w:color w:val="000000" w:themeColor="text1"/>
          <w:sz w:val="24"/>
          <w14:textFill>
            <w14:solidFill>
              <w14:schemeClr w14:val="tx1"/>
            </w14:solidFill>
          </w14:textFill>
        </w:rPr>
      </w:pPr>
    </w:p>
    <w:p>
      <w:pPr>
        <w:spacing w:line="360" w:lineRule="auto"/>
        <w:ind w:firstLine="482" w:firstLineChars="200"/>
        <w:outlineLvl w:val="0"/>
        <w:rPr>
          <w:rFonts w:ascii="宋体" w:hAnsi="宋体" w:eastAsia="宋体" w:cs="宋体"/>
          <w:b/>
          <w:bCs/>
          <w:color w:val="000000" w:themeColor="text1"/>
          <w:sz w:val="24"/>
          <w14:textFill>
            <w14:solidFill>
              <w14:schemeClr w14:val="tx1"/>
            </w14:solidFill>
          </w14:textFill>
        </w:rPr>
      </w:pPr>
      <w:bookmarkStart w:id="66" w:name="_Toc24283"/>
      <w:bookmarkStart w:id="67" w:name="_Toc2254"/>
      <w:r>
        <w:rPr>
          <w:rFonts w:hint="eastAsia" w:ascii="宋体" w:hAnsi="宋体" w:eastAsia="宋体" w:cs="宋体"/>
          <w:b/>
          <w:bCs/>
          <w:color w:val="000000" w:themeColor="text1"/>
          <w:sz w:val="24"/>
          <w14:textFill>
            <w14:solidFill>
              <w14:schemeClr w14:val="tx1"/>
            </w14:solidFill>
          </w14:textFill>
        </w:rPr>
        <w:t>八、加速推进中医药健康事业发展</w:t>
      </w:r>
      <w:bookmarkEnd w:id="66"/>
      <w:bookmarkEnd w:id="67"/>
    </w:p>
    <w:p>
      <w:pPr>
        <w:spacing w:line="360" w:lineRule="auto"/>
        <w:ind w:firstLine="480" w:firstLineChars="200"/>
        <w:outlineLvl w:val="1"/>
        <w:rPr>
          <w:rFonts w:ascii="宋体" w:hAnsi="宋体" w:eastAsia="宋体" w:cs="宋体"/>
          <w:color w:val="000000" w:themeColor="text1"/>
          <w:sz w:val="24"/>
          <w14:textFill>
            <w14:solidFill>
              <w14:schemeClr w14:val="tx1"/>
            </w14:solidFill>
          </w14:textFill>
        </w:rPr>
      </w:pPr>
      <w:bookmarkStart w:id="68" w:name="_Toc27701"/>
      <w:bookmarkStart w:id="69" w:name="_Toc26236"/>
      <w:r>
        <w:rPr>
          <w:rFonts w:hint="eastAsia" w:ascii="黑体" w:hAnsi="黑体" w:eastAsia="黑体" w:cs="黑体"/>
          <w:color w:val="000000" w:themeColor="text1"/>
          <w:sz w:val="24"/>
          <w14:textFill>
            <w14:solidFill>
              <w14:schemeClr w14:val="tx1"/>
            </w14:solidFill>
          </w14:textFill>
        </w:rPr>
        <w:t>23.健全中医药服务体系。</w:t>
      </w:r>
      <w:bookmarkEnd w:id="68"/>
      <w:bookmarkEnd w:id="69"/>
      <w:r>
        <w:rPr>
          <w:rFonts w:hint="eastAsia" w:ascii="宋体" w:hAnsi="宋体" w:eastAsia="宋体" w:cs="宋体"/>
          <w:color w:val="000000" w:themeColor="text1"/>
          <w:sz w:val="24"/>
          <w14:textFill>
            <w14:solidFill>
              <w14:schemeClr w14:val="tx1"/>
            </w14:solidFill>
          </w14:textFill>
        </w:rPr>
        <w:t>遵循中医药发展规律，实施中医治未病健康工程，扩充中医医师队伍，加强中医康复体系建设，普及基层中医药服务，积极构建预防、治疗、康复为一体的中医药特色服务体系。建立中医药科普宣传队伍，加强中医药文化宣传教育基地建设，推广普及中医养生保健知识、技术和方法，推广融入中医治未病理念的自我健康管理和生活方式，提升居民中医药健康文化素养。到2025年，中医药在治未病中的主导作用、在重大疾病治疗中的协同作用、在疾病康复中的核心作用、在养老旅游中的支撑作用得到有效发挥。（牵头单位：区卫生健康局、区人力资源和社会保障局）</w:t>
      </w:r>
    </w:p>
    <w:p>
      <w:pPr>
        <w:spacing w:line="360" w:lineRule="auto"/>
        <w:ind w:firstLine="480" w:firstLineChars="200"/>
        <w:outlineLvl w:val="1"/>
        <w:rPr>
          <w:rFonts w:ascii="宋体" w:hAnsi="宋体" w:eastAsia="宋体" w:cs="宋体"/>
          <w:color w:val="000000" w:themeColor="text1"/>
          <w:sz w:val="24"/>
          <w14:textFill>
            <w14:solidFill>
              <w14:schemeClr w14:val="tx1"/>
            </w14:solidFill>
          </w14:textFill>
        </w:rPr>
      </w:pPr>
      <w:bookmarkStart w:id="70" w:name="_Toc24482"/>
      <w:bookmarkStart w:id="71" w:name="_Toc29527"/>
      <w:r>
        <w:rPr>
          <w:rFonts w:hint="eastAsia" w:ascii="黑体" w:hAnsi="黑体" w:eastAsia="黑体" w:cs="黑体"/>
          <w:color w:val="000000" w:themeColor="text1"/>
          <w:sz w:val="24"/>
          <w14:textFill>
            <w14:solidFill>
              <w14:schemeClr w14:val="tx1"/>
            </w14:solidFill>
          </w14:textFill>
        </w:rPr>
        <w:t>24.提升中医药服务能力。</w:t>
      </w:r>
      <w:bookmarkEnd w:id="70"/>
      <w:bookmarkEnd w:id="71"/>
      <w:r>
        <w:rPr>
          <w:rFonts w:hint="eastAsia" w:ascii="宋体" w:hAnsi="宋体" w:eastAsia="宋体" w:cs="宋体"/>
          <w:color w:val="000000" w:themeColor="text1"/>
          <w:sz w:val="24"/>
          <w14:textFill>
            <w14:solidFill>
              <w14:schemeClr w14:val="tx1"/>
            </w14:solidFill>
          </w14:textFill>
        </w:rPr>
        <w:t>充分发挥山东文登整骨烟台医院中医药健康服务的示范带头作用，强化中医药药品研发及技术推广，积极开展中医药重点专科创建、中医药优势病种研究项目，提升中医诊疗能力和水平。持续推进基层医疗卫生机构“国医堂”项目的有效开展及作用发挥，提升与其功能相适应的中医药服务能力。帮助基层医疗卫生机构与烟台市中医医院、山东文登整骨烟台医院建立开展中医药服务的指导帮扶机制。大力推广中医适宜技术，提高中医技术在孕产妇、慢性病健康管理中的使用比例，持续推进中医药健康管理。（牵头单位：区卫生健康局、区医保局）</w:t>
      </w:r>
    </w:p>
    <w:p>
      <w:pPr>
        <w:spacing w:line="360" w:lineRule="auto"/>
        <w:ind w:firstLine="480" w:firstLineChars="200"/>
        <w:outlineLvl w:val="1"/>
        <w:rPr>
          <w:rFonts w:ascii="宋体" w:hAnsi="宋体" w:eastAsia="宋体" w:cs="宋体"/>
          <w:color w:val="000000" w:themeColor="text1"/>
          <w:sz w:val="24"/>
          <w14:textFill>
            <w14:solidFill>
              <w14:schemeClr w14:val="tx1"/>
            </w14:solidFill>
          </w14:textFill>
        </w:rPr>
      </w:pPr>
      <w:bookmarkStart w:id="72" w:name="_Toc24284"/>
      <w:bookmarkStart w:id="73" w:name="_Toc23430"/>
      <w:r>
        <w:rPr>
          <w:rFonts w:hint="eastAsia" w:ascii="黑体" w:hAnsi="黑体" w:eastAsia="黑体" w:cs="黑体"/>
          <w:color w:val="000000" w:themeColor="text1"/>
          <w:sz w:val="24"/>
          <w14:textFill>
            <w14:solidFill>
              <w14:schemeClr w14:val="tx1"/>
            </w14:solidFill>
          </w14:textFill>
        </w:rPr>
        <w:t>25.拓展中医药健康养老服务。</w:t>
      </w:r>
      <w:bookmarkEnd w:id="72"/>
      <w:bookmarkEnd w:id="73"/>
      <w:r>
        <w:rPr>
          <w:rFonts w:hint="eastAsia" w:ascii="宋体" w:hAnsi="宋体" w:eastAsia="宋体" w:cs="宋体"/>
          <w:color w:val="000000" w:themeColor="text1"/>
          <w:sz w:val="24"/>
          <w14:textFill>
            <w14:solidFill>
              <w14:schemeClr w14:val="tx1"/>
            </w14:solidFill>
          </w14:textFill>
        </w:rPr>
        <w:t>支持中医医疗机构将中医药服务延伸至社区和家庭，开展居家养老式的中医健康管理服务。鼓励中医医师在养老机构提供中医诊疗、养生保健等服务。探索设立中医医养结合机构，建设一批医养结合示范基地。支持社会力量举办中医医疗机构，开展中医特色治疗、康复理疗、针灸推拿、药膳、情志养生等服务项目，实现集团化发展或连锁化经营。加快中医治未病技术体系与产业体系建设，促进中医药与健康养老融合发展，打造一批中医健康养生基地。（牵头单位：区卫生健康局、区民政局、区市场监管局）</w:t>
      </w:r>
    </w:p>
    <w:p>
      <w:pPr>
        <w:spacing w:line="360" w:lineRule="auto"/>
        <w:ind w:firstLine="480" w:firstLineChars="200"/>
        <w:outlineLvl w:val="1"/>
        <w:rPr>
          <w:rFonts w:ascii="宋体" w:hAnsi="宋体" w:eastAsia="宋体" w:cs="宋体"/>
          <w:color w:val="000000" w:themeColor="text1"/>
          <w:sz w:val="24"/>
          <w14:textFill>
            <w14:solidFill>
              <w14:schemeClr w14:val="tx1"/>
            </w14:solidFill>
          </w14:textFill>
        </w:rPr>
      </w:pPr>
      <w:bookmarkStart w:id="74" w:name="_Toc4313"/>
      <w:bookmarkStart w:id="75" w:name="_Toc13673"/>
      <w:r>
        <w:rPr>
          <w:rFonts w:hint="eastAsia" w:ascii="黑体" w:hAnsi="黑体" w:eastAsia="黑体" w:cs="黑体"/>
          <w:color w:val="000000" w:themeColor="text1"/>
          <w:sz w:val="24"/>
          <w14:textFill>
            <w14:solidFill>
              <w14:schemeClr w14:val="tx1"/>
            </w14:solidFill>
          </w14:textFill>
        </w:rPr>
        <w:t>26.推进中医药文化传承与创新发展。</w:t>
      </w:r>
      <w:bookmarkEnd w:id="74"/>
      <w:bookmarkEnd w:id="75"/>
      <w:r>
        <w:rPr>
          <w:rFonts w:hint="eastAsia" w:ascii="宋体" w:hAnsi="宋体" w:eastAsia="宋体" w:cs="宋体"/>
          <w:color w:val="000000" w:themeColor="text1"/>
          <w:sz w:val="24"/>
          <w14:textFill>
            <w14:solidFill>
              <w14:schemeClr w14:val="tx1"/>
            </w14:solidFill>
          </w14:textFill>
        </w:rPr>
        <w:t>弘扬中医药文化精髓，加强中医医疗、保健、教育、科研、产业等机构文化内涵建设。推进中医药文化载体项目、中医药精髓传承项目和中医药传承平台项目建设。继续推进中医药进校园、进社区、进乡村、进家庭，开展“中医中药齐鲁行”活动，在全社会形成“信中医、爱中医、用中医”的浓厚氛围。强化与医学高等学校的协同和合作，实施中医药健康文化素养提升工程，推广普及中医养生保健知识、技术和方法，引导人们树立中医科学养生保健理念，扩大中医药服务的社会效应和民间影响。（牵头单位：区卫生健康局）</w:t>
      </w:r>
    </w:p>
    <w:p>
      <w:pPr>
        <w:jc w:val="center"/>
        <w:rPr>
          <w:rFonts w:ascii="宋体" w:hAnsi="宋体" w:eastAsia="宋体" w:cs="宋体"/>
          <w:b/>
          <w:bCs/>
          <w:color w:val="000000" w:themeColor="text1"/>
          <w:sz w:val="24"/>
          <w14:textFill>
            <w14:solidFill>
              <w14:schemeClr w14:val="tx1"/>
            </w14:solidFill>
          </w14:textFill>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numPr>
                <w:ilvl w:val="255"/>
                <w:numId w:val="0"/>
              </w:numPr>
              <w:spacing w:line="360" w:lineRule="auto"/>
              <w:jc w:val="center"/>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专栏6 中医药健康服务重点提升项目</w:t>
            </w:r>
          </w:p>
          <w:p>
            <w:pPr>
              <w:numPr>
                <w:ilvl w:val="255"/>
                <w:numId w:val="0"/>
              </w:numPr>
              <w:spacing w:line="360" w:lineRule="auto"/>
              <w:ind w:firstLine="482"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治未病服务能力建设：</w:t>
            </w:r>
            <w:r>
              <w:rPr>
                <w:rFonts w:hint="eastAsia" w:ascii="宋体" w:hAnsi="宋体" w:eastAsia="宋体" w:cs="宋体"/>
                <w:color w:val="000000" w:themeColor="text1"/>
                <w:sz w:val="24"/>
                <w14:textFill>
                  <w14:solidFill>
                    <w14:schemeClr w14:val="tx1"/>
                  </w14:solidFill>
                </w14:textFill>
              </w:rPr>
              <w:t>有条件的社区卫生服务机构、村卫生室开展中医健康干预服务，中医药健康管理服务内容和覆盖人群不断扩大，重点提升治未病服务能力。</w:t>
            </w:r>
          </w:p>
          <w:p>
            <w:pPr>
              <w:numPr>
                <w:ilvl w:val="255"/>
                <w:numId w:val="0"/>
              </w:numPr>
              <w:spacing w:line="360" w:lineRule="auto"/>
              <w:ind w:firstLine="482"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基层中医药服务能力提升：</w:t>
            </w:r>
            <w:r>
              <w:rPr>
                <w:rFonts w:hint="eastAsia" w:ascii="宋体" w:hAnsi="宋体" w:eastAsia="宋体" w:cs="宋体"/>
                <w:color w:val="000000" w:themeColor="text1"/>
                <w:sz w:val="24"/>
                <w14:textFill>
                  <w14:solidFill>
                    <w14:schemeClr w14:val="tx1"/>
                  </w14:solidFill>
                </w14:textFill>
              </w:rPr>
              <w:t>支持社区卫生服务中心建设中医药综合服务区（国医堂、中医馆），重点在中医药诊疗设备、文化建设、服务能力以及特色优势和人才队伍等方面给予扶持。扎实做好基本公共卫生服务重点人群中医药健康管理服务项目内容，扩大目标人群覆盖面。</w:t>
            </w:r>
          </w:p>
        </w:tc>
      </w:tr>
    </w:tbl>
    <w:p>
      <w:pPr>
        <w:numPr>
          <w:ilvl w:val="255"/>
          <w:numId w:val="0"/>
        </w:numPr>
        <w:rPr>
          <w:rFonts w:ascii="宋体" w:hAnsi="宋体" w:eastAsia="宋体" w:cs="宋体"/>
          <w:color w:val="000000" w:themeColor="text1"/>
          <w:sz w:val="24"/>
          <w14:textFill>
            <w14:solidFill>
              <w14:schemeClr w14:val="tx1"/>
            </w14:solidFill>
          </w14:textFill>
        </w:rPr>
      </w:pPr>
    </w:p>
    <w:p>
      <w:pPr>
        <w:spacing w:line="360" w:lineRule="auto"/>
        <w:ind w:firstLine="482" w:firstLineChars="200"/>
        <w:outlineLvl w:val="0"/>
        <w:rPr>
          <w:rFonts w:ascii="宋体" w:hAnsi="宋体" w:eastAsia="宋体" w:cs="宋体"/>
          <w:b/>
          <w:bCs/>
          <w:color w:val="000000" w:themeColor="text1"/>
          <w:sz w:val="24"/>
          <w14:textFill>
            <w14:solidFill>
              <w14:schemeClr w14:val="tx1"/>
            </w14:solidFill>
          </w14:textFill>
        </w:rPr>
      </w:pPr>
      <w:bookmarkStart w:id="76" w:name="_Toc30542"/>
      <w:bookmarkStart w:id="77" w:name="_Toc29791"/>
      <w:r>
        <w:rPr>
          <w:rFonts w:hint="eastAsia" w:ascii="宋体" w:hAnsi="宋体" w:eastAsia="宋体" w:cs="宋体"/>
          <w:b/>
          <w:bCs/>
          <w:color w:val="000000" w:themeColor="text1"/>
          <w:sz w:val="24"/>
          <w14:textFill>
            <w14:solidFill>
              <w14:schemeClr w14:val="tx1"/>
            </w14:solidFill>
          </w14:textFill>
        </w:rPr>
        <w:t>九、</w:t>
      </w:r>
      <w:bookmarkEnd w:id="76"/>
      <w:bookmarkEnd w:id="77"/>
      <w:r>
        <w:rPr>
          <w:rFonts w:hint="eastAsia" w:ascii="宋体" w:hAnsi="宋体" w:eastAsia="宋体" w:cs="宋体"/>
          <w:b/>
          <w:bCs/>
          <w:color w:val="000000" w:themeColor="text1"/>
          <w:sz w:val="24"/>
          <w14:textFill>
            <w14:solidFill>
              <w14:schemeClr w14:val="tx1"/>
            </w14:solidFill>
          </w14:textFill>
        </w:rPr>
        <w:t>推进省级医养结合示范先行区建设</w:t>
      </w:r>
    </w:p>
    <w:p>
      <w:pPr>
        <w:spacing w:line="360" w:lineRule="auto"/>
        <w:ind w:firstLine="480" w:firstLineChars="200"/>
        <w:outlineLvl w:val="1"/>
        <w:rPr>
          <w:rFonts w:ascii="宋体" w:hAnsi="宋体" w:eastAsia="宋体" w:cs="宋体"/>
          <w:color w:val="000000" w:themeColor="text1"/>
          <w:sz w:val="24"/>
          <w14:textFill>
            <w14:solidFill>
              <w14:schemeClr w14:val="tx1"/>
            </w14:solidFill>
          </w14:textFill>
        </w:rPr>
      </w:pPr>
      <w:bookmarkStart w:id="78" w:name="_Toc1487"/>
      <w:bookmarkStart w:id="79" w:name="_Toc27741"/>
      <w:r>
        <w:rPr>
          <w:rFonts w:hint="eastAsia" w:ascii="黑体" w:hAnsi="黑体" w:eastAsia="黑体" w:cs="黑体"/>
          <w:color w:val="000000" w:themeColor="text1"/>
          <w:sz w:val="24"/>
          <w14:textFill>
            <w14:solidFill>
              <w14:schemeClr w14:val="tx1"/>
            </w14:solidFill>
          </w14:textFill>
        </w:rPr>
        <w:t>27.</w:t>
      </w:r>
      <w:bookmarkEnd w:id="78"/>
      <w:bookmarkEnd w:id="79"/>
      <w:r>
        <w:rPr>
          <w:rFonts w:hint="eastAsia" w:ascii="黑体" w:hAnsi="黑体" w:eastAsia="黑体" w:cs="黑体"/>
          <w:color w:val="000000" w:themeColor="text1"/>
          <w:sz w:val="24"/>
          <w14:textFill>
            <w14:solidFill>
              <w14:schemeClr w14:val="tx1"/>
            </w14:solidFill>
          </w14:textFill>
        </w:rPr>
        <w:t>持续提升医养结合示范先行区创建水平。</w:t>
      </w:r>
      <w:r>
        <w:rPr>
          <w:rFonts w:hint="eastAsia" w:ascii="宋体" w:hAnsi="宋体" w:eastAsia="宋体" w:cs="宋体"/>
          <w:color w:val="000000" w:themeColor="text1"/>
          <w:sz w:val="24"/>
          <w14:textFill>
            <w14:solidFill>
              <w14:schemeClr w14:val="tx1"/>
            </w14:solidFill>
          </w14:textFill>
        </w:rPr>
        <w:t>鼓励医疗机构与养老机构开展合作共建，促进医养深度融合，提升医养结合机构服务质量。支持养老机构按规定开办医疗机构，开展老年病、康复、护理、中医和安宁疗护等服务。做实医疗机构与养老机构签约服务，为入住老年人提供基本公共卫生服务、基本医疗以及转诊服务。加强居家社区医养结合服务工作，鼓励社区日间照料中心、社区卫生服务机构一体化、嵌入式发展。</w:t>
      </w:r>
      <w:r>
        <w:rPr>
          <w:rFonts w:ascii="宋体" w:hAnsi="宋体" w:eastAsia="宋体" w:cs="宋体"/>
          <w:color w:val="000000" w:themeColor="text1"/>
          <w:kern w:val="0"/>
          <w:sz w:val="24"/>
          <w14:textFill>
            <w14:solidFill>
              <w14:schemeClr w14:val="tx1"/>
            </w14:solidFill>
          </w14:textFill>
        </w:rPr>
        <w:t>积极推进居家养老医疗服务</w:t>
      </w:r>
      <w:r>
        <w:rPr>
          <w:rFonts w:hint="eastAsia" w:ascii="宋体" w:hAnsi="宋体" w:eastAsia="宋体" w:cs="宋体"/>
          <w:color w:val="000000" w:themeColor="text1"/>
          <w:kern w:val="0"/>
          <w:sz w:val="24"/>
          <w14:textFill>
            <w14:solidFill>
              <w14:schemeClr w14:val="tx1"/>
            </w14:solidFill>
          </w14:textFill>
        </w:rPr>
        <w:t>，</w:t>
      </w:r>
      <w:r>
        <w:rPr>
          <w:rFonts w:ascii="宋体" w:hAnsi="宋体" w:eastAsia="宋体" w:cs="宋体"/>
          <w:color w:val="000000" w:themeColor="text1"/>
          <w:kern w:val="0"/>
          <w:sz w:val="24"/>
          <w14:textFill>
            <w14:solidFill>
              <w14:schemeClr w14:val="tx1"/>
            </w14:solidFill>
          </w14:textFill>
        </w:rPr>
        <w:t>鼓励</w:t>
      </w:r>
      <w:r>
        <w:rPr>
          <w:rFonts w:hint="eastAsia" w:ascii="宋体" w:hAnsi="宋体" w:eastAsia="宋体" w:cs="宋体"/>
          <w:color w:val="000000" w:themeColor="text1"/>
          <w:kern w:val="0"/>
          <w:sz w:val="24"/>
          <w14:textFill>
            <w14:solidFill>
              <w14:schemeClr w14:val="tx1"/>
            </w14:solidFill>
          </w14:textFill>
        </w:rPr>
        <w:t>医养结合机构通过购买服务方式为社区和居家老年人提供上门服务。</w:t>
      </w:r>
      <w:r>
        <w:rPr>
          <w:rFonts w:hint="eastAsia" w:ascii="宋体" w:hAnsi="宋体" w:eastAsia="宋体" w:cs="宋体"/>
          <w:color w:val="000000" w:themeColor="text1"/>
          <w:sz w:val="24"/>
          <w14:textFill>
            <w14:solidFill>
              <w14:schemeClr w14:val="tx1"/>
            </w14:solidFill>
          </w14:textFill>
        </w:rPr>
        <w:t>鼓励医护人员到医养结合机构执业，促进人才有序流动。到2025年，基本建成居家社区机构相协调、医养康养相结合的养老服务和健康支撑体系。（牵头单位：区卫生健康局、区民政局、区医保局、区行政审批局）</w:t>
      </w:r>
    </w:p>
    <w:p>
      <w:pPr>
        <w:rPr>
          <w:rFonts w:ascii="宋体" w:hAnsi="宋体" w:eastAsia="宋体" w:cs="宋体"/>
          <w:b/>
          <w:bCs/>
          <w:color w:val="000000" w:themeColor="text1"/>
          <w:sz w:val="24"/>
          <w14:textFill>
            <w14:solidFill>
              <w14:schemeClr w14:val="tx1"/>
            </w14:solidFill>
          </w14:textFill>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60" w:lineRule="auto"/>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专栏7</w:t>
            </w:r>
            <w:r>
              <w:rPr>
                <w:rFonts w:ascii="宋体" w:hAnsi="宋体" w:eastAsia="宋体" w:cs="宋体"/>
                <w:b/>
                <w:bCs/>
                <w:color w:val="000000" w:themeColor="text1"/>
                <w:sz w:val="24"/>
                <w14:textFill>
                  <w14:solidFill>
                    <w14:schemeClr w14:val="tx1"/>
                  </w14:solidFill>
                </w14:textFill>
              </w:rPr>
              <w:t xml:space="preserve"> </w:t>
            </w:r>
            <w:r>
              <w:rPr>
                <w:rFonts w:hint="eastAsia" w:ascii="宋体" w:hAnsi="宋体" w:eastAsia="宋体" w:cs="宋体"/>
                <w:b/>
                <w:bCs/>
                <w:color w:val="000000" w:themeColor="text1"/>
                <w:sz w:val="24"/>
                <w14:textFill>
                  <w14:solidFill>
                    <w14:schemeClr w14:val="tx1"/>
                  </w14:solidFill>
                </w14:textFill>
              </w:rPr>
              <w:t>医养结合示范先行区重点提升项目</w:t>
            </w:r>
          </w:p>
          <w:p>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探索以健康为中心的家庭—社区—医院医养结合模式，持续提升省级医养结合示范先行区创建水平。加强居家社区医养结合服务工作，鼓励社区日间照料中心、社区卫生服务机构一体化、嵌入式发展，探索建立居家老年人防、医、养、康、护一体化服务。积极引入社会资本投资健康养老产业，兴办医养结合机构。</w:t>
            </w:r>
          </w:p>
        </w:tc>
      </w:tr>
    </w:tbl>
    <w:p>
      <w:pPr>
        <w:rPr>
          <w:rFonts w:ascii="宋体" w:hAnsi="宋体" w:eastAsia="宋体" w:cs="宋体"/>
          <w:color w:val="000000" w:themeColor="text1"/>
          <w:sz w:val="24"/>
          <w:highlight w:val="green"/>
          <w14:textFill>
            <w14:solidFill>
              <w14:schemeClr w14:val="tx1"/>
            </w14:solidFill>
          </w14:textFill>
        </w:rPr>
      </w:pPr>
    </w:p>
    <w:p>
      <w:pPr>
        <w:pStyle w:val="6"/>
        <w:widowControl/>
        <w:spacing w:beforeAutospacing="0" w:afterAutospacing="0" w:line="360" w:lineRule="auto"/>
        <w:ind w:firstLine="482" w:firstLineChars="200"/>
        <w:jc w:val="both"/>
        <w:outlineLvl w:val="0"/>
        <w:rPr>
          <w:rFonts w:ascii="宋体" w:hAnsi="宋体" w:eastAsia="宋体" w:cs="宋体"/>
          <w:b/>
          <w:bCs/>
          <w:color w:val="000000" w:themeColor="text1"/>
          <w14:textFill>
            <w14:solidFill>
              <w14:schemeClr w14:val="tx1"/>
            </w14:solidFill>
          </w14:textFill>
        </w:rPr>
      </w:pPr>
      <w:bookmarkStart w:id="80" w:name="_Toc10691"/>
      <w:bookmarkStart w:id="81" w:name="_Toc4502"/>
      <w:r>
        <w:rPr>
          <w:rFonts w:hint="eastAsia" w:ascii="宋体" w:hAnsi="宋体" w:eastAsia="宋体" w:cs="宋体"/>
          <w:b/>
          <w:bCs/>
          <w:color w:val="000000" w:themeColor="text1"/>
          <w14:textFill>
            <w14:solidFill>
              <w14:schemeClr w14:val="tx1"/>
            </w14:solidFill>
          </w14:textFill>
        </w:rPr>
        <w:t>十、加强卫生健康服务监督监管</w:t>
      </w:r>
      <w:bookmarkEnd w:id="80"/>
      <w:bookmarkEnd w:id="81"/>
    </w:p>
    <w:p>
      <w:pPr>
        <w:spacing w:line="360" w:lineRule="auto"/>
        <w:ind w:firstLine="480" w:firstLineChars="200"/>
        <w:outlineLvl w:val="1"/>
        <w:rPr>
          <w:rFonts w:asciiTheme="minorEastAsia" w:hAnsiTheme="minorEastAsia" w:cstheme="minorEastAsia"/>
          <w:color w:val="000000" w:themeColor="text1"/>
          <w:kern w:val="0"/>
          <w:sz w:val="24"/>
          <w14:textFill>
            <w14:solidFill>
              <w14:schemeClr w14:val="tx1"/>
            </w14:solidFill>
          </w14:textFill>
        </w:rPr>
      </w:pPr>
      <w:bookmarkStart w:id="82" w:name="_Toc1159"/>
      <w:bookmarkStart w:id="83" w:name="_Toc9526"/>
      <w:r>
        <w:rPr>
          <w:rFonts w:hint="eastAsia" w:ascii="黑体" w:hAnsi="黑体" w:eastAsia="黑体" w:cs="黑体"/>
          <w:color w:val="000000" w:themeColor="text1"/>
          <w:kern w:val="0"/>
          <w:sz w:val="24"/>
          <w14:textFill>
            <w14:solidFill>
              <w14:schemeClr w14:val="tx1"/>
            </w14:solidFill>
          </w14:textFill>
        </w:rPr>
        <w:t>28.进一步完善卫生健康综合监督执法体系。</w:t>
      </w:r>
      <w:bookmarkEnd w:id="82"/>
      <w:bookmarkEnd w:id="83"/>
      <w:r>
        <w:rPr>
          <w:rFonts w:hint="eastAsia" w:asciiTheme="minorEastAsia" w:hAnsiTheme="minorEastAsia" w:cstheme="minorEastAsia"/>
          <w:color w:val="000000" w:themeColor="text1"/>
          <w:kern w:val="0"/>
          <w:sz w:val="24"/>
          <w14:textFill>
            <w14:solidFill>
              <w14:schemeClr w14:val="tx1"/>
            </w14:solidFill>
          </w14:textFill>
        </w:rPr>
        <w:t>夯实“四级五层”监督执法体系，加强卫生监督机构标准化规范化建设，保障监督执法工作顺利开展。到2025年，区卫生监督机构业务用房、执法装备及执法车辆配备达到国家、省有关规定标准，辖区每万常住人口监督员配备比达到1。加强基层卫生监督协管服务工作，每个卫生监督协管工作站不少于2名专职卫生监督协管员。加大监督执法人员培训力度，监督员每人每年网络培训不少于40学时，开展执法办案能手评选，提升卫生健康执法队伍综合素质、执法办案能力和服务保障能力。（牵头单位：区卫生健康局、区财政局、区人力资源和社会保障局、区住房和城乡建设局）</w:t>
      </w:r>
    </w:p>
    <w:p>
      <w:pPr>
        <w:spacing w:line="360" w:lineRule="auto"/>
        <w:ind w:firstLine="480" w:firstLineChars="200"/>
        <w:outlineLvl w:val="1"/>
        <w:rPr>
          <w:rFonts w:asciiTheme="minorEastAsia" w:hAnsiTheme="minorEastAsia" w:cstheme="minorEastAsia"/>
          <w:color w:val="000000" w:themeColor="text1"/>
          <w:kern w:val="0"/>
          <w:sz w:val="24"/>
          <w14:textFill>
            <w14:solidFill>
              <w14:schemeClr w14:val="tx1"/>
            </w14:solidFill>
          </w14:textFill>
        </w:rPr>
      </w:pPr>
      <w:bookmarkStart w:id="84" w:name="_Toc18321"/>
      <w:bookmarkStart w:id="85" w:name="_Toc18676"/>
      <w:r>
        <w:rPr>
          <w:rFonts w:hint="eastAsia" w:ascii="黑体" w:hAnsi="黑体" w:eastAsia="黑体" w:cs="黑体"/>
          <w:color w:val="000000" w:themeColor="text1"/>
          <w:kern w:val="0"/>
          <w:sz w:val="24"/>
          <w14:textFill>
            <w14:solidFill>
              <w14:schemeClr w14:val="tx1"/>
            </w14:solidFill>
          </w14:textFill>
        </w:rPr>
        <w:t>29.加强综合监督执法。</w:t>
      </w:r>
      <w:bookmarkEnd w:id="84"/>
      <w:bookmarkEnd w:id="85"/>
      <w:r>
        <w:rPr>
          <w:rFonts w:hint="eastAsia" w:asciiTheme="minorEastAsia" w:hAnsiTheme="minorEastAsia" w:cstheme="minorEastAsia"/>
          <w:color w:val="000000" w:themeColor="text1"/>
          <w:kern w:val="0"/>
          <w:sz w:val="24"/>
          <w14:textFill>
            <w14:solidFill>
              <w14:schemeClr w14:val="tx1"/>
            </w14:solidFill>
          </w14:textFill>
        </w:rPr>
        <w:t>完善常态化监督监管机制，实行全行业监管，围绕社会高度关注、涉及群众切身利益的卫生计生突出问题，大力开展专项整治、重点监督检查和经常性督导检查工作。强化医疗市场监管，继续加大打击非法行医的力度，完善医疗市场暗访检查、通报、公示等制度，落实与公安机关打击非法行医执法协作、行刑衔接机制，规范涉嫌犯罪案件的移交工作。对大中型医疗机构实行综合执法，继续推进医疗卫生机构传染病防治分类监督综合评价，提高医疗机构依法执业水平。进一步提高公共卫生监管水平。健全完善公共场所量化分级动态管理机制，推行卫生公示制度。以集中式供水单位、二次供水单位为重点，加强生活饮用水卫生监督管理。加强学校卫生监督，完善与教育部门联动机制，抓好学校传染病防控、采光照明等教学环境、饮用水等卫生安全。加强消毒产品生产企业、餐饮具集中消毒单位卫生监管。以建材、化工等行业为重点，全面加强职业健康监督执法，探索开展职业卫生分类分级执法。全面推行落实行政执法公示、执法全过程记录和重大执法决定法制审核制度，综合监督实行“双随机</w:t>
      </w:r>
      <w:r>
        <w:rPr>
          <w:rFonts w:hint="eastAsia" w:asciiTheme="minorEastAsia" w:hAnsiTheme="minorEastAsia" w:cstheme="minorEastAsia"/>
          <w:color w:val="000000" w:themeColor="text1"/>
          <w:kern w:val="0"/>
          <w:sz w:val="24"/>
          <w:lang w:eastAsia="zh-CN"/>
          <w14:textFill>
            <w14:solidFill>
              <w14:schemeClr w14:val="tx1"/>
            </w14:solidFill>
          </w14:textFill>
        </w:rPr>
        <w:t>、</w:t>
      </w:r>
      <w:r>
        <w:rPr>
          <w:rFonts w:hint="eastAsia" w:asciiTheme="minorEastAsia" w:hAnsiTheme="minorEastAsia" w:cstheme="minorEastAsia"/>
          <w:color w:val="000000" w:themeColor="text1"/>
          <w:kern w:val="0"/>
          <w:sz w:val="24"/>
          <w14:textFill>
            <w14:solidFill>
              <w14:schemeClr w14:val="tx1"/>
            </w14:solidFill>
          </w14:textFill>
        </w:rPr>
        <w:t>一公开”，公布抽查事项清单，提高抽查工作案件查办率，抽查结果及一般程序行政处罚案件全部公示。（牵头单位：区卫生健康局、区市场监管局、区公安分局、区教育和体育局）</w:t>
      </w:r>
    </w:p>
    <w:p>
      <w:pPr>
        <w:spacing w:line="360" w:lineRule="auto"/>
        <w:ind w:firstLine="480" w:firstLineChars="200"/>
        <w:outlineLvl w:val="1"/>
        <w:rPr>
          <w:rFonts w:hint="eastAsia" w:asciiTheme="minorEastAsia" w:hAnsiTheme="minorEastAsia" w:cstheme="minorEastAsia"/>
          <w:color w:val="000000" w:themeColor="text1"/>
          <w:sz w:val="24"/>
          <w14:textFill>
            <w14:solidFill>
              <w14:schemeClr w14:val="tx1"/>
            </w14:solidFill>
          </w14:textFill>
        </w:rPr>
      </w:pPr>
      <w:bookmarkStart w:id="86" w:name="_Toc13294"/>
      <w:bookmarkStart w:id="87" w:name="_Toc23229"/>
      <w:r>
        <w:rPr>
          <w:rFonts w:hint="eastAsia" w:ascii="黑体" w:hAnsi="黑体" w:eastAsia="黑体" w:cs="黑体"/>
          <w:color w:val="000000" w:themeColor="text1"/>
          <w:sz w:val="24"/>
          <w14:textFill>
            <w14:solidFill>
              <w14:schemeClr w14:val="tx1"/>
            </w14:solidFill>
          </w14:textFill>
        </w:rPr>
        <w:t>30.提高监督监管服务水平。</w:t>
      </w:r>
      <w:bookmarkEnd w:id="86"/>
      <w:bookmarkEnd w:id="87"/>
      <w:r>
        <w:rPr>
          <w:rFonts w:hint="eastAsia" w:asciiTheme="minorEastAsia" w:hAnsiTheme="minorEastAsia" w:cstheme="minorEastAsia"/>
          <w:color w:val="000000" w:themeColor="text1"/>
          <w:sz w:val="24"/>
          <w14:textFill>
            <w14:solidFill>
              <w14:schemeClr w14:val="tx1"/>
            </w14:solidFill>
          </w14:textFill>
        </w:rPr>
        <w:t>提升综合监督信息化水平，推广运用移动式执法手段，推行执法全过程记录，高效处置投诉举报。加强医疗卫生安全风险监控，充分应用技术标准和大数据分析，提高发现问题的能力。加强医疗卫生服务满意度监测，实现医疗机构由重住院病人满意度向重全院病人满意度转变。开展公共卫生机构服务满意度第三方测评，促进公共卫生服务水平提高。定期梳理和分析监测监督成果，切实完善医疗卫生服务的管理策略。（牵头单位：区卫生健康局）</w:t>
      </w:r>
    </w:p>
    <w:p>
      <w:pPr>
        <w:spacing w:line="360" w:lineRule="auto"/>
        <w:ind w:firstLine="480" w:firstLineChars="200"/>
        <w:outlineLvl w:val="1"/>
        <w:rPr>
          <w:rFonts w:asciiTheme="minorEastAsia" w:hAnsiTheme="minorEastAsia" w:cstheme="minorEastAsia"/>
          <w:color w:val="000000" w:themeColor="text1"/>
          <w:sz w:val="24"/>
          <w14:textFill>
            <w14:solidFill>
              <w14:schemeClr w14:val="tx1"/>
            </w14:solidFill>
          </w14:textFill>
        </w:rPr>
      </w:pPr>
    </w:p>
    <w:p>
      <w:pPr>
        <w:jc w:val="center"/>
        <w:rPr>
          <w:rFonts w:ascii="宋体" w:hAnsi="宋体" w:eastAsia="宋体" w:cs="宋体"/>
          <w:b/>
          <w:bCs/>
          <w:color w:val="000000" w:themeColor="text1"/>
          <w:sz w:val="24"/>
          <w14:textFill>
            <w14:solidFill>
              <w14:schemeClr w14:val="tx1"/>
            </w14:solidFill>
          </w14:textFill>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60" w:lineRule="auto"/>
              <w:jc w:val="center"/>
              <w:rPr>
                <w:rFonts w:asciiTheme="minorEastAsia" w:hAnsiTheme="minorEastAsia" w:cstheme="minorEastAsia"/>
                <w:color w:val="000000" w:themeColor="text1"/>
                <w:kern w:val="0"/>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专栏8 卫生监督执法重点项目</w:t>
            </w:r>
          </w:p>
          <w:p>
            <w:pPr>
              <w:spacing w:line="360" w:lineRule="auto"/>
              <w:ind w:firstLine="480" w:firstLineChars="200"/>
              <w:rPr>
                <w:rFonts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夯实“四级五层”监督执法体系，加强卫生监督机构标准化规范化建设，保障监督执法工作顺利开展。</w:t>
            </w:r>
            <w:r>
              <w:rPr>
                <w:rFonts w:hint="eastAsia" w:asciiTheme="minorEastAsia" w:hAnsiTheme="minorEastAsia" w:cstheme="minorEastAsia"/>
                <w:color w:val="000000" w:themeColor="text1"/>
                <w:sz w:val="24"/>
                <w14:textFill>
                  <w14:solidFill>
                    <w14:schemeClr w14:val="tx1"/>
                  </w14:solidFill>
                </w14:textFill>
              </w:rPr>
              <w:t>结合全区卫生健康事业发展实际，不断加大执法办案力度，维护群众生命健康安全。制定卫生监督执法方案，确定年度卫生监督专项整治重点，集中时间、集中力量在医疗卫生、公共卫生等多个专业领域打击违法行为。开展全区“信用+综合监督”试点工作，在医疗卫生、公共场所卫生等领域探索开展信用监管新模式。</w:t>
            </w:r>
          </w:p>
        </w:tc>
      </w:tr>
    </w:tbl>
    <w:p>
      <w:pPr>
        <w:rPr>
          <w:rFonts w:ascii="宋体" w:hAnsi="宋体" w:eastAsia="宋体" w:cs="宋体"/>
          <w:color w:val="000000" w:themeColor="text1"/>
          <w:sz w:val="24"/>
          <w:highlight w:val="green"/>
          <w14:textFill>
            <w14:solidFill>
              <w14:schemeClr w14:val="tx1"/>
            </w14:solidFill>
          </w14:textFill>
        </w:rPr>
      </w:pPr>
    </w:p>
    <w:p>
      <w:pPr>
        <w:spacing w:line="360" w:lineRule="auto"/>
        <w:ind w:firstLine="482" w:firstLineChars="200"/>
        <w:outlineLvl w:val="0"/>
        <w:rPr>
          <w:rFonts w:ascii="宋体" w:hAnsi="宋体" w:eastAsia="宋体" w:cs="宋体"/>
          <w:b/>
          <w:color w:val="000000" w:themeColor="text1"/>
          <w:sz w:val="24"/>
          <w:shd w:val="clear" w:color="auto" w:fill="FFFFFF"/>
          <w14:textFill>
            <w14:solidFill>
              <w14:schemeClr w14:val="tx1"/>
            </w14:solidFill>
          </w14:textFill>
        </w:rPr>
      </w:pPr>
      <w:bookmarkStart w:id="88" w:name="_Toc23556"/>
      <w:bookmarkStart w:id="89" w:name="_Toc26069"/>
      <w:r>
        <w:rPr>
          <w:rFonts w:hint="eastAsia" w:ascii="宋体" w:hAnsi="宋体" w:eastAsia="宋体" w:cs="宋体"/>
          <w:b/>
          <w:bCs/>
          <w:color w:val="000000" w:themeColor="text1"/>
          <w:sz w:val="24"/>
          <w14:textFill>
            <w14:solidFill>
              <w14:schemeClr w14:val="tx1"/>
            </w14:solidFill>
          </w14:textFill>
        </w:rPr>
        <w:t>十一、加快推进全民健康信息化建设</w:t>
      </w:r>
      <w:bookmarkEnd w:id="88"/>
      <w:bookmarkEnd w:id="89"/>
    </w:p>
    <w:p>
      <w:pPr>
        <w:pStyle w:val="6"/>
        <w:widowControl/>
        <w:spacing w:beforeAutospacing="0" w:afterAutospacing="0" w:line="360" w:lineRule="auto"/>
        <w:ind w:firstLine="480" w:firstLineChars="200"/>
        <w:jc w:val="both"/>
        <w:outlineLvl w:val="1"/>
        <w:rPr>
          <w:rFonts w:ascii="宋体" w:hAnsi="宋体" w:eastAsia="宋体" w:cs="宋体"/>
          <w:color w:val="000000" w:themeColor="text1"/>
          <w:shd w:val="clear" w:color="auto" w:fill="FFFFFF"/>
          <w14:textFill>
            <w14:solidFill>
              <w14:schemeClr w14:val="tx1"/>
            </w14:solidFill>
          </w14:textFill>
        </w:rPr>
      </w:pPr>
      <w:bookmarkStart w:id="90" w:name="_Toc22805"/>
      <w:bookmarkStart w:id="91" w:name="_Toc21672"/>
      <w:r>
        <w:rPr>
          <w:rFonts w:hint="eastAsia" w:ascii="黑体" w:hAnsi="黑体" w:eastAsia="黑体" w:cs="黑体"/>
          <w:color w:val="000000" w:themeColor="text1"/>
          <w:shd w:val="clear" w:color="auto" w:fill="FFFFFF"/>
          <w14:textFill>
            <w14:solidFill>
              <w14:schemeClr w14:val="tx1"/>
            </w14:solidFill>
          </w14:textFill>
        </w:rPr>
        <w:t>31.提升数字健康发展水平。</w:t>
      </w:r>
      <w:bookmarkEnd w:id="90"/>
      <w:bookmarkEnd w:id="91"/>
      <w:r>
        <w:rPr>
          <w:rFonts w:hint="eastAsia" w:ascii="宋体" w:hAnsi="宋体" w:eastAsia="宋体" w:cs="宋体"/>
          <w:color w:val="000000" w:themeColor="text1"/>
          <w:shd w:val="clear" w:color="auto" w:fill="FFFFFF"/>
          <w14:textFill>
            <w14:solidFill>
              <w14:schemeClr w14:val="tx1"/>
            </w14:solidFill>
          </w14:textFill>
        </w:rPr>
        <w:t>加快建设“互联网+医疗”、电子健康卡、便民惠民服务平台，推进智慧医院建设，推动5G、云计算、大数据、区块链、人工智能等技术在“互联网+健康医疗”服务中的应用，创新“互联网+健康医疗”服务模式。加快互联网医院建设，规范和优化互联网诊疗流程，为患者提供部分常见病和慢性病在线复诊服务，提供“互联网+护理”服务。按照市级统一部署推进公共卫生大数据平台建设，将法定传染病、慢性病、病媒生物监测以及预防接种等公共卫生信息数据接入全民健康信息平台，实现疫情风险研判和预警功能。加强二级及以下医疗机构信息化建设，逐步实现全面网上预约诊疗，推广应用居民电子健康卡，实现全市各级各类医疗卫生机构就诊一卡通用、诊疗信息共享共用，有效推动基层医疗卫生管理服务的信息化、便捷化。（牵头单位：区卫生健康局、区大数据局、区发展和改革局、区财政局、区人力资源和社会保障局、区医保局、区工业和信息化局）</w:t>
      </w:r>
    </w:p>
    <w:p>
      <w:pPr>
        <w:rPr>
          <w:rFonts w:ascii="宋体" w:hAnsi="宋体" w:eastAsia="宋体" w:cs="宋体"/>
          <w:b/>
          <w:bCs/>
          <w:color w:val="000000" w:themeColor="text1"/>
          <w:sz w:val="24"/>
          <w14:textFill>
            <w14:solidFill>
              <w14:schemeClr w14:val="tx1"/>
            </w14:solidFill>
          </w14:textFill>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60" w:lineRule="auto"/>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专栏9 全民健康信息化重点建设项目</w:t>
            </w:r>
          </w:p>
          <w:p>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加快建设“互联网+医疗”、电子健康卡、便民惠民服务平台，创新“互联网+健康医疗”服务模式；加强二级及以下医疗机构信息化建设，逐步实现全面网上预约诊疗，推广应用居民电子健康卡，有效推动基层医疗卫生管理服务的信息化、便捷化。</w:t>
            </w:r>
          </w:p>
        </w:tc>
      </w:tr>
    </w:tbl>
    <w:p>
      <w:pPr>
        <w:pStyle w:val="6"/>
        <w:widowControl/>
        <w:spacing w:beforeAutospacing="0" w:afterAutospacing="0"/>
        <w:ind w:firstLine="480" w:firstLineChars="200"/>
        <w:jc w:val="both"/>
        <w:rPr>
          <w:rFonts w:ascii="Arial" w:hAnsi="Arial" w:eastAsia="宋体" w:cs="Arial"/>
          <w:color w:val="000000" w:themeColor="text1"/>
          <w:shd w:val="clear" w:color="auto" w:fill="FFFFFF"/>
          <w14:textFill>
            <w14:solidFill>
              <w14:schemeClr w14:val="tx1"/>
            </w14:solidFill>
          </w14:textFill>
        </w:rPr>
      </w:pPr>
    </w:p>
    <w:p>
      <w:pPr>
        <w:pStyle w:val="6"/>
        <w:widowControl/>
        <w:spacing w:beforeAutospacing="0" w:afterAutospacing="0" w:line="360" w:lineRule="auto"/>
        <w:ind w:firstLine="482" w:firstLineChars="200"/>
        <w:jc w:val="both"/>
        <w:outlineLvl w:val="0"/>
        <w:rPr>
          <w:rFonts w:ascii="Arial" w:hAnsi="Arial" w:eastAsia="宋体" w:cs="Arial"/>
          <w:b/>
          <w:bCs/>
          <w:color w:val="000000" w:themeColor="text1"/>
          <w:shd w:val="clear" w:color="auto" w:fill="FFFFFF"/>
          <w14:textFill>
            <w14:solidFill>
              <w14:schemeClr w14:val="tx1"/>
            </w14:solidFill>
          </w14:textFill>
        </w:rPr>
      </w:pPr>
      <w:bookmarkStart w:id="92" w:name="_Toc7309"/>
      <w:bookmarkStart w:id="93" w:name="_Toc24657"/>
      <w:r>
        <w:rPr>
          <w:rFonts w:hint="eastAsia" w:ascii="Arial" w:hAnsi="Arial" w:eastAsia="宋体" w:cs="Arial"/>
          <w:b/>
          <w:bCs/>
          <w:color w:val="000000" w:themeColor="text1"/>
          <w:shd w:val="clear" w:color="auto" w:fill="FFFFFF"/>
          <w14:textFill>
            <w14:solidFill>
              <w14:schemeClr w14:val="tx1"/>
            </w14:solidFill>
          </w14:textFill>
        </w:rPr>
        <w:t>十二、健全支持保障，促进卫生健康事业高质量发展</w:t>
      </w:r>
      <w:bookmarkEnd w:id="92"/>
      <w:bookmarkEnd w:id="93"/>
    </w:p>
    <w:p>
      <w:pPr>
        <w:pStyle w:val="6"/>
        <w:widowControl/>
        <w:spacing w:beforeAutospacing="0" w:afterAutospacing="0" w:line="360" w:lineRule="auto"/>
        <w:ind w:firstLine="480" w:firstLineChars="200"/>
        <w:jc w:val="both"/>
        <w:outlineLvl w:val="1"/>
        <w:rPr>
          <w:rFonts w:ascii="Arial" w:hAnsi="Arial" w:eastAsia="宋体" w:cs="Arial"/>
          <w:color w:val="000000" w:themeColor="text1"/>
          <w:shd w:val="clear" w:color="auto" w:fill="FFFFFF"/>
          <w14:textFill>
            <w14:solidFill>
              <w14:schemeClr w14:val="tx1"/>
            </w14:solidFill>
          </w14:textFill>
        </w:rPr>
      </w:pPr>
      <w:bookmarkStart w:id="94" w:name="_Toc24791"/>
      <w:bookmarkStart w:id="95" w:name="_Toc17179"/>
      <w:r>
        <w:rPr>
          <w:rFonts w:hint="eastAsia" w:ascii="黑体" w:hAnsi="黑体" w:eastAsia="黑体" w:cs="黑体"/>
          <w:color w:val="000000" w:themeColor="text1"/>
          <w:shd w:val="clear" w:color="auto" w:fill="FFFFFF"/>
          <w14:textFill>
            <w14:solidFill>
              <w14:schemeClr w14:val="tx1"/>
            </w14:solidFill>
          </w14:textFill>
        </w:rPr>
        <w:t>32.扩充卫生人力资源总量。</w:t>
      </w:r>
      <w:bookmarkEnd w:id="94"/>
      <w:bookmarkEnd w:id="95"/>
      <w:r>
        <w:rPr>
          <w:rFonts w:hint="eastAsia" w:ascii="Arial" w:hAnsi="Arial" w:eastAsia="宋体" w:cs="Arial"/>
          <w:color w:val="000000" w:themeColor="text1"/>
          <w:shd w:val="clear" w:color="auto" w:fill="FFFFFF"/>
          <w14:textFill>
            <w14:solidFill>
              <w14:schemeClr w14:val="tx1"/>
            </w14:solidFill>
          </w14:textFill>
        </w:rPr>
        <w:t>人力资源是卫生健康事业高质量发展的第一要素，“十四五”期间按需充实卫生人才队伍，加大人才招引力度，补齐人力资源配置短板。盘活医疗卫生编制资源，编办合理核定卫生机构人员编制，编制配置向人员短缺严重的卫生机构以及基层岗位倾斜，如公共卫生、全科医学等。到</w:t>
      </w:r>
      <w:r>
        <w:rPr>
          <w:rFonts w:hint="eastAsia" w:asciiTheme="minorEastAsia" w:hAnsiTheme="minorEastAsia" w:cstheme="minorEastAsia"/>
          <w:color w:val="000000" w:themeColor="text1"/>
          <w:shd w:val="clear" w:color="auto" w:fill="FFFFFF"/>
          <w14:textFill>
            <w14:solidFill>
              <w14:schemeClr w14:val="tx1"/>
            </w14:solidFill>
          </w14:textFill>
        </w:rPr>
        <w:t>2025年，每千人口执业（助理）医师数达到4.2人，每千人口注册护士数达到4.05人，每万人口全科医生数达到4人。创新人才招聘和使用机制，建立人才柔性流动制度，探索通过兼职、退休返聘、购买服务、对口支援等形式弥补紧缺岗位的不足。乡村医生以区为单位按照服务人口1-1.5</w:t>
      </w:r>
      <w:r>
        <w:rPr>
          <w:rFonts w:hint="eastAsia" w:ascii="Arial" w:hAnsi="Arial" w:eastAsia="宋体" w:cs="Arial"/>
          <w:color w:val="000000" w:themeColor="text1"/>
          <w:shd w:val="clear" w:color="auto" w:fill="FFFFFF"/>
          <w14:textFill>
            <w14:solidFill>
              <w14:schemeClr w14:val="tx1"/>
            </w14:solidFill>
          </w14:textFill>
        </w:rPr>
        <w:t>‰配备，全面推行乡村医生“区招乡聘村用”工作，新进乡村医生应当具备执业助理医师以上资格或全日制医学专业专科以上学历。探索基层全科医生的订单定向培养制度，筑牢卫生服务网底。（牵头单位：区卫生健康局、区委编办、区人力资源和社会保障局、区教育和体育局、区发展和改革局、区财政局）</w:t>
      </w:r>
    </w:p>
    <w:p>
      <w:pPr>
        <w:pStyle w:val="6"/>
        <w:widowControl/>
        <w:spacing w:beforeAutospacing="0" w:afterAutospacing="0" w:line="360" w:lineRule="auto"/>
        <w:ind w:firstLine="480" w:firstLineChars="200"/>
        <w:jc w:val="both"/>
        <w:outlineLvl w:val="1"/>
        <w:rPr>
          <w:rFonts w:ascii="Arial" w:hAnsi="Arial" w:eastAsia="宋体" w:cs="Arial"/>
          <w:color w:val="000000" w:themeColor="text1"/>
          <w:shd w:val="clear" w:color="auto" w:fill="FFFFFF"/>
          <w14:textFill>
            <w14:solidFill>
              <w14:schemeClr w14:val="tx1"/>
            </w14:solidFill>
          </w14:textFill>
        </w:rPr>
      </w:pPr>
      <w:bookmarkStart w:id="96" w:name="_Toc22957"/>
      <w:bookmarkStart w:id="97" w:name="_Toc12550"/>
      <w:r>
        <w:rPr>
          <w:rFonts w:hint="eastAsia" w:ascii="黑体" w:hAnsi="黑体" w:eastAsia="黑体" w:cs="黑体"/>
          <w:color w:val="000000" w:themeColor="text1"/>
          <w:shd w:val="clear" w:color="auto" w:fill="FFFFFF"/>
          <w14:textFill>
            <w14:solidFill>
              <w14:schemeClr w14:val="tx1"/>
            </w14:solidFill>
          </w14:textFill>
        </w:rPr>
        <w:t>33.加快卫生健康科技创新。</w:t>
      </w:r>
      <w:bookmarkEnd w:id="96"/>
      <w:bookmarkEnd w:id="97"/>
      <w:r>
        <w:rPr>
          <w:rFonts w:hint="eastAsia" w:ascii="Arial" w:hAnsi="Arial" w:eastAsia="宋体" w:cs="Arial"/>
          <w:color w:val="000000" w:themeColor="text1"/>
          <w:shd w:val="clear" w:color="auto" w:fill="FFFFFF"/>
          <w14:textFill>
            <w14:solidFill>
              <w14:schemeClr w14:val="tx1"/>
            </w14:solidFill>
          </w14:textFill>
        </w:rPr>
        <w:t>深化“科卫协同”机制，支持企业与高校院所联合搭建人才培养和开放式科技创新平台，推动高校院所人才与社会资本、技术成果的深度对接，打造卫生与健康领域更多产学研深度融合、互利共赢发展的创新联合体。区政府牵头与滨州医学院开展深度合作，强化对卫生与健康创新创造的支持，落实人才政策，创新体制机制，支持科研人员采取更加灵活的方式服务健康领域关键技术研发、创新和突破，全面提升科技创新对卫生健康事业高质量发展的支撑能力。（牵头部门：区科技局、区卫健局、区工业和信息化局、区大数据局）</w:t>
      </w:r>
    </w:p>
    <w:p>
      <w:pPr>
        <w:pStyle w:val="6"/>
        <w:widowControl/>
        <w:spacing w:beforeAutospacing="0" w:afterAutospacing="0" w:line="360" w:lineRule="auto"/>
        <w:ind w:firstLine="480" w:firstLineChars="200"/>
        <w:jc w:val="both"/>
        <w:outlineLvl w:val="1"/>
        <w:rPr>
          <w:rFonts w:ascii="Arial" w:hAnsi="Arial" w:eastAsia="宋体" w:cs="Arial"/>
          <w:color w:val="000000" w:themeColor="text1"/>
          <w:shd w:val="clear" w:color="auto" w:fill="FFFFFF"/>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34.推进安全生产标准化建设。</w:t>
      </w:r>
      <w:r>
        <w:rPr>
          <w:rFonts w:ascii="宋体" w:hAnsi="宋体" w:eastAsia="宋体" w:cs="宋体"/>
          <w:color w:val="000000" w:themeColor="text1"/>
          <w14:textFill>
            <w14:solidFill>
              <w14:schemeClr w14:val="tx1"/>
            </w14:solidFill>
          </w14:textFill>
        </w:rPr>
        <w:t>建立健全安全生产组织体系，全面提高医院安全生产管理人员专业化水平。全面落实安全生产责任管理制度，开展安全生产常态化培训，全面提升安全生产能力。</w:t>
      </w:r>
      <w:r>
        <w:rPr>
          <w:rFonts w:hint="eastAsia" w:ascii="宋体" w:hAnsi="宋体" w:eastAsia="宋体" w:cs="宋体"/>
          <w:color w:val="000000" w:themeColor="text1"/>
          <w14:textFill>
            <w14:solidFill>
              <w14:schemeClr w14:val="tx1"/>
            </w14:solidFill>
          </w14:textFill>
        </w:rPr>
        <w:t>（牵头单位：区卫生健康局、各街道园区）</w:t>
      </w:r>
    </w:p>
    <w:p>
      <w:pPr>
        <w:pStyle w:val="6"/>
        <w:widowControl/>
        <w:spacing w:beforeAutospacing="0" w:afterAutospacing="0" w:line="360" w:lineRule="auto"/>
        <w:ind w:firstLine="480" w:firstLineChars="200"/>
        <w:jc w:val="both"/>
        <w:outlineLvl w:val="1"/>
        <w:rPr>
          <w:rFonts w:ascii="宋体" w:hAnsi="宋体" w:eastAsia="宋体" w:cs="宋体"/>
          <w:color w:val="000000" w:themeColor="text1"/>
          <w14:textFill>
            <w14:solidFill>
              <w14:schemeClr w14:val="tx1"/>
            </w14:solidFill>
          </w14:textFill>
        </w:rPr>
      </w:pPr>
      <w:bookmarkStart w:id="98" w:name="_Toc10358"/>
      <w:bookmarkStart w:id="99" w:name="_Toc19941"/>
      <w:r>
        <w:rPr>
          <w:rFonts w:hint="eastAsia" w:ascii="黑体" w:hAnsi="黑体" w:eastAsia="黑体" w:cs="黑体"/>
          <w:color w:val="000000" w:themeColor="text1"/>
          <w14:textFill>
            <w14:solidFill>
              <w14:schemeClr w14:val="tx1"/>
            </w14:solidFill>
          </w14:textFill>
        </w:rPr>
        <w:t>35.落实政府主导投入机制。</w:t>
      </w:r>
      <w:bookmarkEnd w:id="98"/>
      <w:bookmarkEnd w:id="99"/>
      <w:r>
        <w:rPr>
          <w:rFonts w:hint="eastAsia" w:ascii="宋体" w:hAnsi="宋体" w:eastAsia="宋体" w:cs="宋体"/>
          <w:color w:val="000000" w:themeColor="text1"/>
          <w14:textFill>
            <w14:solidFill>
              <w14:schemeClr w14:val="tx1"/>
            </w14:solidFill>
          </w14:textFill>
        </w:rPr>
        <w:t>确保政府卫生投入增长幅度高于财政经常性支出的增长幅度。切实落实政府对公立医院的投入政策，对公立医院和基层卫生机构的合规债务进行锁定、剥离和化解。加大对公共卫生、基层医疗服务网络、人才建设的投入力度，对资源短缺的学科、机构在投入政策上予以适当倾斜，补齐资源短板。安排基层卫生机构设备更新专项财政投入，设立财政专项对紧缺岗位人员发放特殊津贴。（牵头单位：区卫生健康局、区发展和改革局、区财政局）</w:t>
      </w:r>
    </w:p>
    <w:p>
      <w:pPr>
        <w:pStyle w:val="6"/>
        <w:widowControl/>
        <w:spacing w:beforeAutospacing="0" w:afterAutospacing="0" w:line="360" w:lineRule="auto"/>
        <w:ind w:firstLine="482" w:firstLineChars="200"/>
        <w:jc w:val="both"/>
        <w:outlineLvl w:val="0"/>
        <w:rPr>
          <w:rFonts w:ascii="宋体" w:hAnsi="宋体" w:eastAsia="宋体" w:cs="宋体"/>
          <w:b/>
          <w:bCs/>
          <w:color w:val="000000" w:themeColor="text1"/>
          <w14:textFill>
            <w14:solidFill>
              <w14:schemeClr w14:val="tx1"/>
            </w14:solidFill>
          </w14:textFill>
        </w:rPr>
      </w:pPr>
      <w:bookmarkStart w:id="100" w:name="_Toc1778"/>
      <w:bookmarkStart w:id="101" w:name="_Toc12555"/>
      <w:r>
        <w:rPr>
          <w:rFonts w:hint="eastAsia" w:ascii="宋体" w:hAnsi="宋体" w:eastAsia="宋体" w:cs="宋体"/>
          <w:b/>
          <w:bCs/>
          <w:color w:val="000000" w:themeColor="text1"/>
          <w14:textFill>
            <w14:solidFill>
              <w14:schemeClr w14:val="tx1"/>
            </w14:solidFill>
          </w14:textFill>
        </w:rPr>
        <w:t>十三、组织实施与保障</w:t>
      </w:r>
      <w:bookmarkEnd w:id="100"/>
      <w:bookmarkEnd w:id="101"/>
    </w:p>
    <w:p>
      <w:pPr>
        <w:pStyle w:val="6"/>
        <w:widowControl/>
        <w:spacing w:beforeAutospacing="0" w:afterAutospacing="0" w:line="360" w:lineRule="auto"/>
        <w:ind w:firstLine="480" w:firstLineChars="200"/>
        <w:jc w:val="both"/>
        <w:outlineLvl w:val="1"/>
        <w:rPr>
          <w:rFonts w:asciiTheme="minorEastAsia" w:hAnsiTheme="minorEastAsia" w:cstheme="minorEastAsia"/>
          <w:color w:val="000000" w:themeColor="text1"/>
          <w14:textFill>
            <w14:solidFill>
              <w14:schemeClr w14:val="tx1"/>
            </w14:solidFill>
          </w14:textFill>
        </w:rPr>
      </w:pPr>
      <w:bookmarkStart w:id="102" w:name="_Toc17665"/>
      <w:bookmarkStart w:id="103" w:name="_Toc29488"/>
      <w:r>
        <w:rPr>
          <w:rFonts w:hint="eastAsia" w:ascii="黑体" w:hAnsi="黑体" w:eastAsia="黑体" w:cs="黑体"/>
          <w:color w:val="000000" w:themeColor="text1"/>
          <w14:textFill>
            <w14:solidFill>
              <w14:schemeClr w14:val="tx1"/>
            </w14:solidFill>
          </w14:textFill>
        </w:rPr>
        <w:t>（一）强化组织领导</w:t>
      </w:r>
      <w:bookmarkEnd w:id="102"/>
      <w:bookmarkEnd w:id="103"/>
      <w:r>
        <w:rPr>
          <w:rFonts w:hint="eastAsia" w:ascii="黑体" w:hAnsi="黑体" w:eastAsia="黑体" w:cs="黑体"/>
          <w:color w:val="000000" w:themeColor="text1"/>
          <w14:textFill>
            <w14:solidFill>
              <w14:schemeClr w14:val="tx1"/>
            </w14:solidFill>
          </w14:textFill>
        </w:rPr>
        <w:t>。</w:t>
      </w:r>
      <w:r>
        <w:rPr>
          <w:rFonts w:hint="eastAsia" w:asciiTheme="minorEastAsia" w:hAnsiTheme="minorEastAsia" w:cstheme="minorEastAsia"/>
          <w:color w:val="000000" w:themeColor="text1"/>
          <w14:textFill>
            <w14:solidFill>
              <w14:schemeClr w14:val="tx1"/>
            </w14:solidFill>
          </w14:textFill>
        </w:rPr>
        <w:t>充分认识建设现代医疗卫生体系的重要性、紧迫性，切实加强对“十四五”卫生与健康规划实施工作的领导，建立分工明确、配合密切的协调推进机制，卫生健康、发展改革、编办、财政、人社、医保、科技、市场监管、公安、宣传、教育、行政审批等部门合力推进规划实施。本规划项目列入政府工作目标和考核内容，在经济社会发展、城乡建设、土地利用总体规划中统筹考虑卫生健康事业发展需要。</w:t>
      </w:r>
    </w:p>
    <w:p>
      <w:pPr>
        <w:pStyle w:val="6"/>
        <w:widowControl/>
        <w:spacing w:beforeAutospacing="0" w:afterAutospacing="0" w:line="360" w:lineRule="auto"/>
        <w:ind w:firstLine="480" w:firstLineChars="200"/>
        <w:jc w:val="both"/>
        <w:outlineLvl w:val="1"/>
        <w:rPr>
          <w:rFonts w:asciiTheme="minorEastAsia" w:hAnsiTheme="minorEastAsia" w:cstheme="minorEastAsia"/>
          <w:color w:val="000000" w:themeColor="text1"/>
          <w14:textFill>
            <w14:solidFill>
              <w14:schemeClr w14:val="tx1"/>
            </w14:solidFill>
          </w14:textFill>
        </w:rPr>
      </w:pPr>
      <w:bookmarkStart w:id="104" w:name="_Toc18078"/>
      <w:bookmarkStart w:id="105" w:name="_Toc10503"/>
      <w:r>
        <w:rPr>
          <w:rFonts w:hint="eastAsia" w:ascii="黑体" w:hAnsi="黑体" w:eastAsia="黑体" w:cs="黑体"/>
          <w:color w:val="000000" w:themeColor="text1"/>
          <w14:textFill>
            <w14:solidFill>
              <w14:schemeClr w14:val="tx1"/>
            </w14:solidFill>
          </w14:textFill>
        </w:rPr>
        <w:t>（二）加强政策保障</w:t>
      </w:r>
      <w:bookmarkEnd w:id="104"/>
      <w:bookmarkEnd w:id="105"/>
      <w:r>
        <w:rPr>
          <w:rFonts w:hint="eastAsia" w:ascii="黑体" w:hAnsi="黑体" w:eastAsia="黑体" w:cs="黑体"/>
          <w:color w:val="000000" w:themeColor="text1"/>
          <w14:textFill>
            <w14:solidFill>
              <w14:schemeClr w14:val="tx1"/>
            </w14:solidFill>
          </w14:textFill>
        </w:rPr>
        <w:t>。</w:t>
      </w:r>
      <w:r>
        <w:rPr>
          <w:rFonts w:hint="eastAsia" w:asciiTheme="minorEastAsia" w:hAnsiTheme="minorEastAsia" w:cstheme="minorEastAsia"/>
          <w:color w:val="000000" w:themeColor="text1"/>
          <w14:textFill>
            <w14:solidFill>
              <w14:schemeClr w14:val="tx1"/>
            </w14:solidFill>
          </w14:textFill>
        </w:rPr>
        <w:t>进一步完善政府卫生投入机制，逐步提高政府卫生计生投入占卫生总费用的比重，有效减轻居民个人基本医疗卫生费用负担。政府新增卫生投入重点用于支持公共卫生、基层卫生、综合医改、科研人才、智慧医疗建设。建立健全政府对卫生与健康投入与产出的绩效评价机制，优化政府投资安排方式，促进政府投入达到预期目标。鼓励社会资本参与发展卫生健康事业，建立社会办医准入的“负面清单”制度，凡是法律法规未禁止的领域，都要依法向社会资本开放，促进投资主体多元化、投资方式多样化。加大政策创新力度，完善价格、财税金融、医保等方面配套政策，着力突破重点难点问题。</w:t>
      </w:r>
    </w:p>
    <w:p>
      <w:pPr>
        <w:pStyle w:val="6"/>
        <w:widowControl/>
        <w:spacing w:beforeAutospacing="0" w:afterAutospacing="0" w:line="360" w:lineRule="auto"/>
        <w:ind w:firstLine="480" w:firstLineChars="200"/>
        <w:jc w:val="both"/>
        <w:outlineLvl w:val="1"/>
        <w:rPr>
          <w:rFonts w:asciiTheme="minorEastAsia" w:hAnsiTheme="minorEastAsia" w:cstheme="minorEastAsia"/>
          <w:color w:val="000000" w:themeColor="text1"/>
          <w14:textFill>
            <w14:solidFill>
              <w14:schemeClr w14:val="tx1"/>
            </w14:solidFill>
          </w14:textFill>
        </w:rPr>
      </w:pPr>
      <w:bookmarkStart w:id="106" w:name="_Toc8926"/>
      <w:bookmarkStart w:id="107" w:name="_Toc26647"/>
      <w:r>
        <w:rPr>
          <w:rFonts w:hint="eastAsia" w:ascii="黑体" w:hAnsi="黑体" w:eastAsia="黑体" w:cs="黑体"/>
          <w:color w:val="000000" w:themeColor="text1"/>
          <w14:textFill>
            <w14:solidFill>
              <w14:schemeClr w14:val="tx1"/>
            </w14:solidFill>
          </w14:textFill>
        </w:rPr>
        <w:t>（三）营造良好环境</w:t>
      </w:r>
      <w:bookmarkEnd w:id="106"/>
      <w:bookmarkEnd w:id="107"/>
      <w:r>
        <w:rPr>
          <w:rFonts w:hint="eastAsia" w:ascii="黑体" w:hAnsi="黑体" w:eastAsia="黑体" w:cs="黑体"/>
          <w:color w:val="000000" w:themeColor="text1"/>
          <w14:textFill>
            <w14:solidFill>
              <w14:schemeClr w14:val="tx1"/>
            </w14:solidFill>
          </w14:textFill>
        </w:rPr>
        <w:t>。</w:t>
      </w:r>
      <w:r>
        <w:rPr>
          <w:rFonts w:hint="eastAsia" w:asciiTheme="minorEastAsia" w:hAnsiTheme="minorEastAsia" w:cstheme="minorEastAsia"/>
          <w:color w:val="000000" w:themeColor="text1"/>
          <w14:textFill>
            <w14:solidFill>
              <w14:schemeClr w14:val="tx1"/>
            </w14:solidFill>
          </w14:textFill>
        </w:rPr>
        <w:t>加强卫生与健康法治建设，落实重大决策合法性审查制度。健全依法决策机制，加强对卫生健康重大行政决策的监管。强化卫生健康行风和职业道德建设，大力宣传系统中的道德模范、先进人物和感人事迹，维护和提升行业的良好形象。推动医疗卫生机构公开服务信息，增强医患双方相互理解与信任。优化医务人员执业环境和条件，严厉打击涉医违法犯罪行为。完善医患纠纷调解机制，依法保护医患双方合法权益。坚持正确的舆论导向，合理引导社会预期，倡导形成尊重医学科学、尊重医务人员劳动的良好舆论氛围。</w:t>
      </w:r>
    </w:p>
    <w:p>
      <w:pPr>
        <w:pStyle w:val="6"/>
        <w:widowControl/>
        <w:spacing w:beforeAutospacing="0" w:afterAutospacing="0" w:line="360" w:lineRule="auto"/>
        <w:ind w:firstLine="480" w:firstLineChars="200"/>
        <w:jc w:val="both"/>
        <w:outlineLvl w:val="1"/>
        <w:rPr>
          <w:rFonts w:ascii="宋体" w:hAnsi="宋体" w:eastAsia="宋体" w:cs="宋体"/>
          <w:color w:val="000000" w:themeColor="text1"/>
          <w14:textFill>
            <w14:solidFill>
              <w14:schemeClr w14:val="tx1"/>
            </w14:solidFill>
          </w14:textFill>
        </w:rPr>
      </w:pPr>
      <w:bookmarkStart w:id="108" w:name="_Toc29363"/>
      <w:bookmarkStart w:id="109" w:name="_Toc17324"/>
      <w:r>
        <w:rPr>
          <w:rFonts w:hint="eastAsia" w:ascii="黑体" w:hAnsi="黑体" w:eastAsia="黑体" w:cs="黑体"/>
          <w:color w:val="000000" w:themeColor="text1"/>
          <w14:textFill>
            <w14:solidFill>
              <w14:schemeClr w14:val="tx1"/>
            </w14:solidFill>
          </w14:textFill>
        </w:rPr>
        <w:t>（四）落实监督评估</w:t>
      </w:r>
      <w:bookmarkEnd w:id="108"/>
      <w:bookmarkEnd w:id="109"/>
      <w:r>
        <w:rPr>
          <w:rFonts w:hint="eastAsia" w:ascii="黑体" w:hAnsi="黑体" w:eastAsia="黑体" w:cs="黑体"/>
          <w:color w:val="000000" w:themeColor="text1"/>
          <w14:textFill>
            <w14:solidFill>
              <w14:schemeClr w14:val="tx1"/>
            </w14:solidFill>
          </w14:textFill>
        </w:rPr>
        <w:t>。</w:t>
      </w:r>
      <w:r>
        <w:rPr>
          <w:rFonts w:hint="eastAsia" w:asciiTheme="minorEastAsia" w:hAnsiTheme="minorEastAsia" w:cstheme="minorEastAsia"/>
          <w:color w:val="000000" w:themeColor="text1"/>
          <w14:textFill>
            <w14:solidFill>
              <w14:schemeClr w14:val="tx1"/>
            </w14:solidFill>
          </w14:textFill>
        </w:rPr>
        <w:t>本规划是我区“十四五”期间推进卫生与健康发展、加快现代医疗卫生体系建设的纲领性文件，各有关部门要严格执行本规划确定的目标和任务。健全规划执行的监测评价体系，探索建立第三方评估机制，监督重大项目的执行情况，及时发现和解决规划实施中存在的问题，提高监测评估的科学性和有效性。适时开展规划实施中期评估，增强规划执行的约束性，确保各项目标任务顺利完成。</w:t>
      </w:r>
    </w:p>
    <w:p>
      <w:pPr>
        <w:spacing w:line="360" w:lineRule="auto"/>
        <w:ind w:firstLine="480" w:firstLineChars="200"/>
        <w:rPr>
          <w:rFonts w:cs="宋体"/>
          <w:bCs/>
          <w:color w:val="000000" w:themeColor="text1"/>
          <w:sz w:val="24"/>
          <w14:textFill>
            <w14:solidFill>
              <w14:schemeClr w14:val="tx1"/>
            </w14:solidFill>
          </w14:textFill>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7</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lNjc0ZDU1NDQzYjQ4OTM1MmZhZjhjZTlkYTFlMzQifQ=="/>
  </w:docVars>
  <w:rsids>
    <w:rsidRoot w:val="78A67DB8"/>
    <w:rsid w:val="0000133A"/>
    <w:rsid w:val="00002CDC"/>
    <w:rsid w:val="0004785D"/>
    <w:rsid w:val="00061F30"/>
    <w:rsid w:val="00062F14"/>
    <w:rsid w:val="000658A6"/>
    <w:rsid w:val="000B42A5"/>
    <w:rsid w:val="000F2FB3"/>
    <w:rsid w:val="00123AA1"/>
    <w:rsid w:val="00183809"/>
    <w:rsid w:val="00185127"/>
    <w:rsid w:val="00197A17"/>
    <w:rsid w:val="00207566"/>
    <w:rsid w:val="00257333"/>
    <w:rsid w:val="002862DE"/>
    <w:rsid w:val="002A4714"/>
    <w:rsid w:val="002B6DFF"/>
    <w:rsid w:val="002D049C"/>
    <w:rsid w:val="002D0AEE"/>
    <w:rsid w:val="002D7FB0"/>
    <w:rsid w:val="00312755"/>
    <w:rsid w:val="003133D8"/>
    <w:rsid w:val="003271CB"/>
    <w:rsid w:val="003344E8"/>
    <w:rsid w:val="00375B86"/>
    <w:rsid w:val="00392AA5"/>
    <w:rsid w:val="003A0C35"/>
    <w:rsid w:val="003C6FDE"/>
    <w:rsid w:val="003D2B02"/>
    <w:rsid w:val="003D4033"/>
    <w:rsid w:val="0044556D"/>
    <w:rsid w:val="004520C2"/>
    <w:rsid w:val="004607E1"/>
    <w:rsid w:val="00470DC7"/>
    <w:rsid w:val="00472B9D"/>
    <w:rsid w:val="00486DB1"/>
    <w:rsid w:val="004A408E"/>
    <w:rsid w:val="004C670B"/>
    <w:rsid w:val="004E071C"/>
    <w:rsid w:val="005153C8"/>
    <w:rsid w:val="005708E9"/>
    <w:rsid w:val="005A4710"/>
    <w:rsid w:val="005D43AA"/>
    <w:rsid w:val="00602650"/>
    <w:rsid w:val="00613802"/>
    <w:rsid w:val="00692C28"/>
    <w:rsid w:val="006B7035"/>
    <w:rsid w:val="006D1924"/>
    <w:rsid w:val="006D6AAB"/>
    <w:rsid w:val="006F7362"/>
    <w:rsid w:val="00704A20"/>
    <w:rsid w:val="007532D3"/>
    <w:rsid w:val="00785151"/>
    <w:rsid w:val="00785843"/>
    <w:rsid w:val="00785FF1"/>
    <w:rsid w:val="00790551"/>
    <w:rsid w:val="007B6382"/>
    <w:rsid w:val="007F7AD0"/>
    <w:rsid w:val="00817E4E"/>
    <w:rsid w:val="00826B8F"/>
    <w:rsid w:val="00855598"/>
    <w:rsid w:val="008612B1"/>
    <w:rsid w:val="008665DE"/>
    <w:rsid w:val="008E1B53"/>
    <w:rsid w:val="00911192"/>
    <w:rsid w:val="0092663A"/>
    <w:rsid w:val="00940B41"/>
    <w:rsid w:val="00944618"/>
    <w:rsid w:val="009464D4"/>
    <w:rsid w:val="009A2663"/>
    <w:rsid w:val="009B3827"/>
    <w:rsid w:val="009C55D0"/>
    <w:rsid w:val="009E65A7"/>
    <w:rsid w:val="00A100C9"/>
    <w:rsid w:val="00A1569D"/>
    <w:rsid w:val="00AB7807"/>
    <w:rsid w:val="00AC41FC"/>
    <w:rsid w:val="00AC43DD"/>
    <w:rsid w:val="00AC5706"/>
    <w:rsid w:val="00B906C4"/>
    <w:rsid w:val="00BA3525"/>
    <w:rsid w:val="00BD53AE"/>
    <w:rsid w:val="00BE09E8"/>
    <w:rsid w:val="00BF622D"/>
    <w:rsid w:val="00C12558"/>
    <w:rsid w:val="00C275D3"/>
    <w:rsid w:val="00C451AC"/>
    <w:rsid w:val="00C56CD9"/>
    <w:rsid w:val="00C73D8A"/>
    <w:rsid w:val="00C764BA"/>
    <w:rsid w:val="00C76DBD"/>
    <w:rsid w:val="00CB0F98"/>
    <w:rsid w:val="00CD3D8F"/>
    <w:rsid w:val="00CE2F35"/>
    <w:rsid w:val="00CE3E9B"/>
    <w:rsid w:val="00D04D18"/>
    <w:rsid w:val="00D243D2"/>
    <w:rsid w:val="00D2572E"/>
    <w:rsid w:val="00D34CA0"/>
    <w:rsid w:val="00D447CC"/>
    <w:rsid w:val="00D5223A"/>
    <w:rsid w:val="00D912DC"/>
    <w:rsid w:val="00DC2940"/>
    <w:rsid w:val="00DE7E17"/>
    <w:rsid w:val="00E2118F"/>
    <w:rsid w:val="00E53C08"/>
    <w:rsid w:val="00E87841"/>
    <w:rsid w:val="00E902D7"/>
    <w:rsid w:val="00EA728F"/>
    <w:rsid w:val="00EB76AF"/>
    <w:rsid w:val="00EC46F8"/>
    <w:rsid w:val="00EC61AB"/>
    <w:rsid w:val="00EC62D5"/>
    <w:rsid w:val="00F21564"/>
    <w:rsid w:val="00F361D0"/>
    <w:rsid w:val="00F401F4"/>
    <w:rsid w:val="00F42248"/>
    <w:rsid w:val="00F50373"/>
    <w:rsid w:val="00F5263C"/>
    <w:rsid w:val="00F75347"/>
    <w:rsid w:val="00F76AE5"/>
    <w:rsid w:val="00F80541"/>
    <w:rsid w:val="00F85C2D"/>
    <w:rsid w:val="00FA082D"/>
    <w:rsid w:val="00FB0B9F"/>
    <w:rsid w:val="00FC21F4"/>
    <w:rsid w:val="00FC3CDA"/>
    <w:rsid w:val="00FD5C4C"/>
    <w:rsid w:val="00FE2343"/>
    <w:rsid w:val="01C026D1"/>
    <w:rsid w:val="0438623D"/>
    <w:rsid w:val="06840C59"/>
    <w:rsid w:val="0CE04B36"/>
    <w:rsid w:val="0E121233"/>
    <w:rsid w:val="144E205B"/>
    <w:rsid w:val="16021311"/>
    <w:rsid w:val="19886313"/>
    <w:rsid w:val="1A20768A"/>
    <w:rsid w:val="1C6316C9"/>
    <w:rsid w:val="1F9972F1"/>
    <w:rsid w:val="1FDB63A4"/>
    <w:rsid w:val="20E94088"/>
    <w:rsid w:val="24543BB7"/>
    <w:rsid w:val="24B2353D"/>
    <w:rsid w:val="289C4ED6"/>
    <w:rsid w:val="29744D39"/>
    <w:rsid w:val="32564B8A"/>
    <w:rsid w:val="32CB5657"/>
    <w:rsid w:val="38924A5D"/>
    <w:rsid w:val="3CCE13FB"/>
    <w:rsid w:val="3E367902"/>
    <w:rsid w:val="410A4999"/>
    <w:rsid w:val="411C0171"/>
    <w:rsid w:val="41ED5754"/>
    <w:rsid w:val="4200222A"/>
    <w:rsid w:val="427C33E5"/>
    <w:rsid w:val="488B2A96"/>
    <w:rsid w:val="4ACD590E"/>
    <w:rsid w:val="4CE334CB"/>
    <w:rsid w:val="4FBD73D4"/>
    <w:rsid w:val="53341513"/>
    <w:rsid w:val="5B6D7316"/>
    <w:rsid w:val="62F62F79"/>
    <w:rsid w:val="65DC4BF7"/>
    <w:rsid w:val="666F60C5"/>
    <w:rsid w:val="6969188E"/>
    <w:rsid w:val="6F291EEA"/>
    <w:rsid w:val="75A0439A"/>
    <w:rsid w:val="779D6FBD"/>
    <w:rsid w:val="78A67DB8"/>
    <w:rsid w:val="7D144507"/>
    <w:rsid w:val="7EB42CE4"/>
    <w:rsid w:val="7F6A76EE"/>
    <w:rsid w:val="7F950B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toc 1"/>
    <w:basedOn w:val="1"/>
    <w:next w:val="1"/>
    <w:autoRedefine/>
    <w:qFormat/>
    <w:uiPriority w:val="0"/>
  </w:style>
  <w:style w:type="paragraph" w:styleId="5">
    <w:name w:val="toc 2"/>
    <w:basedOn w:val="1"/>
    <w:next w:val="1"/>
    <w:autoRedefine/>
    <w:qFormat/>
    <w:uiPriority w:val="0"/>
    <w:pPr>
      <w:ind w:left="420" w:leftChars="200"/>
    </w:pPr>
  </w:style>
  <w:style w:type="paragraph" w:styleId="6">
    <w:name w:val="Normal (Web)"/>
    <w:basedOn w:val="1"/>
    <w:autoRedefine/>
    <w:qFormat/>
    <w:uiPriority w:val="0"/>
    <w:pPr>
      <w:spacing w:beforeAutospacing="1" w:afterAutospacing="1"/>
      <w:jc w:val="left"/>
    </w:pPr>
    <w:rPr>
      <w:rFonts w:cs="Times New Roman"/>
      <w:kern w:val="0"/>
      <w:sz w:val="24"/>
    </w:rPr>
  </w:style>
  <w:style w:type="table" w:styleId="8">
    <w:name w:val="Table Grid"/>
    <w:basedOn w:val="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autoRedefine/>
    <w:qFormat/>
    <w:uiPriority w:val="0"/>
    <w:rPr>
      <w:b/>
    </w:rPr>
  </w:style>
  <w:style w:type="character" w:styleId="11">
    <w:name w:val="Emphasis"/>
    <w:autoRedefine/>
    <w:qFormat/>
    <w:uiPriority w:val="0"/>
    <w:rPr>
      <w:rFonts w:cs="Times New Roman"/>
      <w:color w:val="CC0000"/>
    </w:rPr>
  </w:style>
  <w:style w:type="character" w:customStyle="1" w:styleId="12">
    <w:name w:val="txt1"/>
    <w:autoRedefine/>
    <w:qFormat/>
    <w:uiPriority w:val="0"/>
    <w:rPr>
      <w:rFonts w:ascii="宋体" w:hAnsi="宋体" w:eastAsia="宋体"/>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B8A60E-CAF3-4BBB-9DFA-550B368350D2}">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21</Pages>
  <Words>18534</Words>
  <Characters>18912</Characters>
  <Lines>136</Lines>
  <Paragraphs>38</Paragraphs>
  <TotalTime>11</TotalTime>
  <ScaleCrop>false</ScaleCrop>
  <LinksUpToDate>false</LinksUpToDate>
  <CharactersWithSpaces>18930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2021-12-15T06:42:00Z</dcterms:created>
  <dc:creator>DQ</dc:creator>
  <cp:lastModifiedBy>。。。</cp:lastModifiedBy>
  <cp:lastPrinted>2021-12-02T02:47:00Z</cp:lastPrinted>
  <dcterms:modified xsi:type="dcterms:W3CDTF">2024-05-24T06:13:34Z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390E9F78131147FA8118B68FD56F8537</vt:lpwstr>
  </property>
</Properties>
</file>