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7C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eastAsia="zh-CN"/>
        </w:rPr>
        <w:t>烟台市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</w:rPr>
        <w:t>莱山区行政调解工作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val="en-US" w:eastAsia="zh-CN"/>
        </w:rPr>
        <w:t>实施细则（试行）</w:t>
      </w:r>
    </w:p>
    <w:p w14:paraId="12635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56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eastAsia="zh-CN"/>
        </w:rPr>
      </w:pPr>
    </w:p>
    <w:p w14:paraId="212DBA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总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  <w:lang w:eastAsia="zh-CN"/>
        </w:rPr>
        <w:t>体原则</w:t>
      </w:r>
    </w:p>
    <w:p w14:paraId="1F006F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155" w:firstLine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0158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进一步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规范行政调解工作，完善矛盾纠纷多元化解机制，践行新时代“枫桥经验”，推动矛盾纠纷源头化解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，就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地化解，根据《山东省多元化解纠纷促进条例》《山东省行政调解办法》，结合实际工作情况，制定本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细则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。</w:t>
      </w:r>
    </w:p>
    <w:p w14:paraId="486520C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各级行政机关以及法律、法规授权的具有管理公共事务职能的组织（以下统称行政机关）开展行政调解工作。</w:t>
      </w:r>
    </w:p>
    <w:p w14:paraId="0020733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本细则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所称行政调解，是指行政机关牵头，整合司法、社会调解力量，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通过说服、疏导、协调等方式，引导公民、法人和其他组织在平等协商、互谅互让的基础上自愿达成协议，依法化解与履行行政管理职责有关的民事纠纷的活动。</w:t>
      </w:r>
    </w:p>
    <w:p w14:paraId="03DCA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行政调解工作坚持中国共产党的领导，实行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属地管理、分级负责，谁主管、谁负责，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遵循自愿平等、合法公正、便民高效的原则，尊重公序良俗，不得损害国家利益、社会公共利益以及公民、法人和其他组织的合法权益。</w:t>
      </w:r>
    </w:p>
    <w:p w14:paraId="4CB241A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行政机关应当依法履行行政调解工作主体责任，加强对本系统、领域行政调解工作的业务指导。行政机关开展行政调解工作，不得收取任何费用，不得以行政调解代替行政执法活动。</w:t>
      </w:r>
    </w:p>
    <w:p w14:paraId="481B3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u w:val="none"/>
        </w:rPr>
      </w:pPr>
    </w:p>
    <w:p w14:paraId="19E22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6" w:firstLineChars="20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054FD6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组织建设</w:t>
      </w:r>
    </w:p>
    <w:p w14:paraId="271F04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0AAD836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市场监管、卫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生健康、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公安、交通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、文旅、海洋渔业、农业农村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、教体、民政、林业、环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等行政部门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和街道（园区）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设立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标准化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eastAsia="zh-CN"/>
        </w:rPr>
        <w:t>行政调解组织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，名称统一为“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调解委员会”，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</w:rPr>
        <w:t>使用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行政机关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</w:rPr>
        <w:t>公章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val="en-US" w:eastAsia="zh-CN"/>
        </w:rPr>
        <w:t>或行政调解组织专用章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接受区司法局业务指导。</w:t>
      </w:r>
    </w:p>
    <w:p w14:paraId="6CDB5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eastAsia="zh-CN"/>
        </w:rPr>
        <w:t>行政调解组织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由所属单位管理，悬挂统一标识，规范设置调解区、接待区、档案区，配备录音录像、监控、办公电脑、打印机等必要设施，落实安全保障措施。</w:t>
      </w:r>
    </w:p>
    <w:p w14:paraId="166D8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第八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shd w:val="clear" w:color="auto" w:fill="FFFFFF"/>
          <w:lang w:eastAsia="zh-CN"/>
        </w:rPr>
        <w:t>行政调解组织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需上墙公示工作制度，包括《行政调解工作职责》《行政调解工作纪律》《当事人权利义务》《行政调解工作流程》等，同时公示调解员姓名、联系方式、专业领域等信息。</w:t>
      </w:r>
    </w:p>
    <w:p w14:paraId="7334A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第九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构建“行政调解组织+行业调解联络点”双层调解网络，行业领域设立调解联络点，实现矛盾纠纷全域覆盖。</w:t>
      </w:r>
    </w:p>
    <w:p w14:paraId="21AD4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</w:p>
    <w:p w14:paraId="3EFC8A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队伍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  <w:lang w:eastAsia="zh-CN"/>
        </w:rPr>
        <w:t>建设</w:t>
      </w:r>
    </w:p>
    <w:p w14:paraId="420A58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2D0AA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行政机关进行行政调解，应当指派本机关工作人员主持调解，并可以根据工作需要，邀请人大代表、政协委员、人民调解员或者有关单位人员、专业人员等参与调解。</w:t>
      </w:r>
    </w:p>
    <w:p w14:paraId="0E3C000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行政机关工作人员、行政机关邀请参与调解的人员（以下统称行政调解人员）调解民事纠纷，应当坚持合法合理的原则，明法析理，主持公道，依法开展行政调解工作，并对知悉的当事人的商业秘密或者个人隐私等事项予以保密。</w:t>
      </w:r>
    </w:p>
    <w:p w14:paraId="72B28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第十二条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行政调解人员有下列情形之一的，应当主动回避，当事人及其代理人也有权申请其回避：</w:t>
      </w:r>
    </w:p>
    <w:p w14:paraId="737B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（一）与民事纠纷有利害关系的；</w:t>
      </w:r>
    </w:p>
    <w:p w14:paraId="4BF7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（二）与当事人、第三人或者其代理人有利害关系的；</w:t>
      </w:r>
    </w:p>
    <w:p w14:paraId="1BD0D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（三）其他可能影响公正调解的情形。</w:t>
      </w:r>
    </w:p>
    <w:p w14:paraId="2F192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当事人或者其代理人申请行政调解人员回避的，应当说明理由。行政机关决定行政调解人员回避的，应当及时更换其他行政调解人员；决定不予回避的，应当向当事人说明理由。</w:t>
      </w:r>
    </w:p>
    <w:p w14:paraId="55BEA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行政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应当遵守以下工作纪律和职业道德：</w:t>
      </w:r>
    </w:p>
    <w:p w14:paraId="767E9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（一）不得强迫、偏袒任何一方当事人；</w:t>
      </w:r>
    </w:p>
    <w:p w14:paraId="5A646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（二）不得侮辱、刁难当事人；</w:t>
      </w:r>
    </w:p>
    <w:p w14:paraId="398FF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（三）不得索取、收受当事人财物或牟取其他不正当利益；</w:t>
      </w:r>
    </w:p>
    <w:p w14:paraId="1B3C5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（四）不得泄露当事人的个人隐私、商业秘密及调解过程中知悉的工作秘密；</w:t>
      </w:r>
    </w:p>
    <w:p w14:paraId="085DC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（五）不得无故推诿、拖延调解工作；</w:t>
      </w:r>
    </w:p>
    <w:p w14:paraId="7BC7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（六）不得违反法律法规、国家政策和社会公序良俗。</w:t>
      </w:r>
    </w:p>
    <w:p w14:paraId="7BD64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调解员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违反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本细则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规定的，由所属行政调解组织给予批评教育、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限期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改正；情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严重的，解聘调解员资格，并通报其所在单位；构成违法犯罪的，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移交相关部门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依法追究法律责任。</w:t>
      </w:r>
    </w:p>
    <w:p w14:paraId="1EEDE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建立调解员常态化培训机制，区司法局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定期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组织通用法律知识、调解技巧培训，各行政部门每年组织一次本领域专业法规、业务知识培训，提升调解员专业能力。</w:t>
      </w:r>
    </w:p>
    <w:p w14:paraId="1E5BF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96" w:firstLineChars="20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58CB28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  <w:lang w:val="en-US" w:eastAsia="zh-CN"/>
        </w:rPr>
        <w:t>申请条件及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调解范围</w:t>
      </w:r>
    </w:p>
    <w:p w14:paraId="74ED9E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7437476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　行政机关可以根据民事纠纷当事人申请进行行政调解，也可以经双方当事人同意后主动组织行政调解。</w:t>
      </w:r>
    </w:p>
    <w:p w14:paraId="7FC9E7F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第十七条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　申请行政调解应当符合下列条件：</w:t>
      </w:r>
    </w:p>
    <w:p w14:paraId="21FBFB4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（一）有明确的双方当事人；</w:t>
      </w:r>
    </w:p>
    <w:p w14:paraId="2AA60DC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（二）与申请行政调解的民事纠纷有直接利害关系；</w:t>
      </w:r>
    </w:p>
    <w:p w14:paraId="6640965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（三）有具体的请求、事实和理由；</w:t>
      </w:r>
    </w:p>
    <w:p w14:paraId="1FA6B56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（四）属于本办法规定的行政调解范围和行政机关的行政调解工作职责。</w:t>
      </w:r>
    </w:p>
    <w:p w14:paraId="7A9D55F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法律、法规、规章规定的下列民事纠纷，可以进行行政调解：</w:t>
      </w:r>
    </w:p>
    <w:p w14:paraId="7CFB83C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（一）可以治安调解的纠纷；</w:t>
      </w:r>
    </w:p>
    <w:p w14:paraId="559D67F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（二）交通事故损害赔偿纠纷；</w:t>
      </w:r>
    </w:p>
    <w:p w14:paraId="1FEF9EE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（三）医疗纠纷；</w:t>
      </w:r>
    </w:p>
    <w:p w14:paraId="4BAD2D4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（四）消费者权益纠纷、产品质量纠纷；</w:t>
      </w:r>
    </w:p>
    <w:p w14:paraId="7E2FE7A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（五）农村土地承包经营纠纷；</w:t>
      </w:r>
    </w:p>
    <w:p w14:paraId="6975FCB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（六）农村集体经济组织因成员身份确认异议，或者内部管理、运行、收益分配等发生的纠纷；</w:t>
      </w:r>
    </w:p>
    <w:p w14:paraId="1255392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（七）侵犯商标专用权的赔偿数额纠纷、专利纠纷、著作权纠纷；</w:t>
      </w:r>
    </w:p>
    <w:p w14:paraId="7029F47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（八）水污染、噪声侵害引起的赔偿责任和赔偿金额纠纷，土壤污染纠纷；</w:t>
      </w:r>
    </w:p>
    <w:p w14:paraId="300D586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（九）水事纠纷；</w:t>
      </w:r>
    </w:p>
    <w:p w14:paraId="74323A0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（十）海域使用权纠纷；</w:t>
      </w:r>
    </w:p>
    <w:p w14:paraId="19E5612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（十一）学生伤害事故纠纷；</w:t>
      </w:r>
    </w:p>
    <w:p w14:paraId="126D9DA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（十二）物业管理纠纷；</w:t>
      </w:r>
    </w:p>
    <w:p w14:paraId="6158E65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（十三）拖欠农民工工资纠纷；</w:t>
      </w:r>
    </w:p>
    <w:p w14:paraId="7A30952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（十四）依法进行行政裁决的纠纷；</w:t>
      </w:r>
    </w:p>
    <w:p w14:paraId="64EE49D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（十五）依法可以进行行政调解的其他民事纠纷。</w:t>
      </w:r>
    </w:p>
    <w:p w14:paraId="41413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十九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民事纠纷有下列情形之一的，行政机关不进行行政调解：</w:t>
      </w:r>
    </w:p>
    <w:p w14:paraId="2480924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（一）人民法院、仲裁机构、有关调解组织等已经依法受理或者作出处理的；</w:t>
      </w:r>
    </w:p>
    <w:p w14:paraId="1313312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（二）已经经过信访复查、复核的；</w:t>
      </w:r>
    </w:p>
    <w:p w14:paraId="3817BABE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（三）一方当事人明确拒绝行政调解的；</w:t>
      </w:r>
    </w:p>
    <w:p w14:paraId="7E83570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（四）当事人就同一事实和理由重复提出行政调解申请的；</w:t>
      </w:r>
    </w:p>
    <w:p w14:paraId="6155661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（五）法律、法规、规章规定不适用行政调解的其他情形。</w:t>
      </w:r>
    </w:p>
    <w:p w14:paraId="100CA60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第二十条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　两个以上行政机关对同一民事纠纷依法都具有行政调解工作职责的，由最先收到行政调解申请的行政机关进行行政调解。行政机关对行政调解工作职责有争议的，应当协商解决；协商不成的，报请共同的上一级行政机关决定。</w:t>
      </w:r>
    </w:p>
    <w:p w14:paraId="618B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16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u w:val="none"/>
        </w:rPr>
      </w:pPr>
    </w:p>
    <w:p w14:paraId="2AC9C4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  <w:lang w:val="en-US" w:eastAsia="zh-CN"/>
        </w:rPr>
        <w:t>工作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机制</w:t>
      </w:r>
    </w:p>
    <w:p w14:paraId="57606E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306074B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8" w:firstLineChars="200"/>
        <w:jc w:val="both"/>
        <w:textAlignment w:val="auto"/>
        <w:rPr>
          <w:rFonts w:hint="eastAsia" w:ascii="Microsoft YaHei UI" w:hAnsi="Microsoft YaHei UI" w:eastAsia="Microsoft YaHei UI" w:cs="Microsoft YaHei UI"/>
          <w:spacing w:val="8"/>
          <w:sz w:val="32"/>
          <w:szCs w:val="32"/>
          <w:highlight w:val="none"/>
          <w:u w:val="none"/>
        </w:rPr>
      </w:pP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</w:rPr>
        <w:t>第</w:t>
      </w: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二十一</w:t>
      </w: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</w:rPr>
        <w:t>条</w:t>
      </w:r>
      <w:r>
        <w:rPr>
          <w:rStyle w:val="8"/>
          <w:rFonts w:hint="eastAsia" w:ascii="黑体" w:hAnsi="黑体" w:eastAsia="黑体" w:cs="黑体"/>
          <w:spacing w:val="8"/>
          <w:sz w:val="32"/>
          <w:szCs w:val="32"/>
          <w:highlight w:val="none"/>
          <w:u w:val="none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在派出所（警务站）设置“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  <w:lang w:eastAsia="zh-CN"/>
        </w:rPr>
        <w:t>警律联调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”工作室，在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区司法局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公安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分局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的指导下开展工作。工作室的日常工作由派出所管理。</w:t>
      </w:r>
    </w:p>
    <w:p w14:paraId="48696C73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8" w:firstLineChars="200"/>
        <w:jc w:val="both"/>
        <w:textAlignment w:val="auto"/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</w:rPr>
        <w:t>第</w:t>
      </w: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二十二</w:t>
      </w: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</w:rPr>
        <w:t xml:space="preserve">条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工作室任务是受理、调解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可以进行治安调解的纠纷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；通过调解，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同步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宣传国家法律法规、政策；每月梳理分析纠纷，向公安派出所报告工作。</w:t>
      </w:r>
    </w:p>
    <w:p w14:paraId="6D4CDD1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8" w:firstLineChars="200"/>
        <w:jc w:val="both"/>
        <w:textAlignment w:val="auto"/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</w:rPr>
        <w:t>第</w:t>
      </w: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二十三</w:t>
      </w:r>
      <w:r>
        <w:rPr>
          <w:rStyle w:val="8"/>
          <w:rFonts w:hint="eastAsia" w:ascii="黑体" w:hAnsi="黑体" w:eastAsia="黑体" w:cs="黑体"/>
          <w:b w:val="0"/>
          <w:bCs/>
          <w:spacing w:val="8"/>
          <w:sz w:val="32"/>
          <w:szCs w:val="32"/>
          <w:highlight w:val="none"/>
          <w:u w:val="none"/>
          <w:shd w:val="clear" w:color="auto" w:fill="FFFFFF"/>
        </w:rPr>
        <w:t>条</w:t>
      </w:r>
      <w:r>
        <w:rPr>
          <w:rStyle w:val="8"/>
          <w:rFonts w:hint="eastAsia" w:ascii="黑体" w:hAnsi="黑体" w:eastAsia="黑体" w:cs="黑体"/>
          <w:spacing w:val="8"/>
          <w:sz w:val="32"/>
          <w:szCs w:val="32"/>
          <w:highlight w:val="none"/>
          <w:u w:val="none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工作室门口统一悬挂“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  <w:lang w:eastAsia="zh-CN"/>
        </w:rPr>
        <w:t>警律联调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  <w:u w:val="none"/>
          <w:shd w:val="clear" w:color="auto" w:fill="FFFFFF"/>
        </w:rPr>
        <w:t>”工作室名称标牌，有条件的可设置候调室、调解员办公室，规范设置标语、组织简介、调解员公示栏等。</w:t>
      </w:r>
    </w:p>
    <w:p w14:paraId="525BB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二十四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推行执法与调解融合，将行政调解嵌入行政执法全流程，实现“调执一体、源头化解”。</w:t>
      </w:r>
    </w:p>
    <w:p w14:paraId="5E7CC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第二十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行政执法人员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调解员，实现“一证双用、一岗双责”，执法人员兼具行政执法与行政调解双重职责。</w:t>
      </w:r>
    </w:p>
    <w:p w14:paraId="06800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u w:val="none"/>
        </w:rPr>
        <w:t>第二十</w:t>
      </w:r>
      <w:r>
        <w:rPr>
          <w:rFonts w:hint="eastAsia" w:ascii="黑体" w:hAnsi="黑体" w:eastAsia="黑体" w:cs="黑体"/>
          <w:sz w:val="32"/>
          <w:szCs w:val="32"/>
          <w:highlight w:val="none"/>
          <w:u w:val="none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将行政调解能力纳入行政执法人员培训内容，区司法局会同各行政部门定期开展执调融合业务培训，提升执法人员调解实操水平。</w:t>
      </w:r>
    </w:p>
    <w:p w14:paraId="001C994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firstLine="616" w:firstLineChars="20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36AEC8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  <w:lang w:val="en-US" w:eastAsia="zh-CN"/>
        </w:rPr>
        <w:t>行政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调解流转与实施</w:t>
      </w:r>
    </w:p>
    <w:p w14:paraId="4E5479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24A4A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  <w:t>第一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  <w:lang w:eastAsia="zh-CN"/>
        </w:rPr>
        <w:t xml:space="preserve">节 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  <w:t>受理与移送</w:t>
      </w:r>
    </w:p>
    <w:p w14:paraId="03D11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第二十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当事人可通过书面申请、口头申请、现场申请、电话申请等方式申请行政调解：</w:t>
      </w:r>
    </w:p>
    <w:p w14:paraId="7AB02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（一）书面申请：当事人填写《行政调解申请书》，提交身份证明、相关证据材料；</w:t>
      </w:r>
    </w:p>
    <w:p w14:paraId="47EF0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（二）口头申请：当事人无法书写的，可口头提出申请，由调解员如实记录《行政调解口头申请笔录》，经当事人签字确认。</w:t>
      </w:r>
    </w:p>
    <w:p w14:paraId="27C32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二十八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行政机关应当自收到行政调解申请之日起5个工作日内，决定是否进行行政调解，并通知双方当事人，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填写《行政调解受理登记表》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。</w:t>
      </w:r>
    </w:p>
    <w:p w14:paraId="6C9F7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（一）符合调解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条件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的，出具《行政调解受理通知书》，当场或3个工作日内告知当事人调解时间、地点、调解员名单，并送达《权利义务告知书》；</w:t>
      </w:r>
    </w:p>
    <w:p w14:paraId="1348F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（二）不符合调解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条件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的，出具《行政调解不予受理通知书》，说明理由并引导当事人通过诉讼、仲裁等法定渠道解决。</w:t>
      </w:r>
    </w:p>
    <w:p w14:paraId="07A14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二十九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各部门在工作中发现符合调解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条件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的纠纷，应在2个工作日内填写《行政调解矛盾纠纷移送单》，连同相关证据材料移送至有管辖权的行政调解组织，并告知当事人。</w:t>
      </w:r>
    </w:p>
    <w:p w14:paraId="273B7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行业调解联络点受理的简易纠纷，可当场调解；调解未果的，应在1个工作日内移送至对应部门行政调解组织，并做好材料移交。</w:t>
      </w:r>
    </w:p>
    <w:p w14:paraId="514A4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</w:pPr>
    </w:p>
    <w:p w14:paraId="648AA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  <w:t>第二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  <w:lang w:eastAsia="zh-CN"/>
        </w:rPr>
        <w:t xml:space="preserve">节 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  <w:t>调解实施</w:t>
      </w:r>
    </w:p>
    <w:p w14:paraId="29B66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调解前，调解员应梳理纠纷事实、核实证据材料，拟定调解思路；对证据不足的，可要求当事人或移送部门补充材料，也可自行开展调查核实，填写《行政调解调查记录》。</w:t>
      </w:r>
    </w:p>
    <w:p w14:paraId="0B557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本机关工作人员主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持，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1名调解员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参与调解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，复杂纠纷可由2名及以上调解员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参与调解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，特邀调解员可参与专业领域纠纷调解。调解开始前，应核实当事人身份，送达《行政调解告知书》，告知当事人调解的权利、义务及回避申请权，当事人申请调解员回避的，调解组织应及时更换调解员。</w:t>
      </w:r>
    </w:p>
    <w:p w14:paraId="6BDDE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调解应当遵循以下程序：</w:t>
      </w:r>
    </w:p>
    <w:p w14:paraId="50BC2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（一）由当事人分别陈述事实、理由及诉求；</w:t>
      </w:r>
    </w:p>
    <w:p w14:paraId="05256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（二）调解员核实事实、厘清责任，结合法律法规、政策进行释法析理；</w:t>
      </w:r>
    </w:p>
    <w:p w14:paraId="53C3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（三）引导当事人平等协商，提出调解方案；</w:t>
      </w:r>
    </w:p>
    <w:p w14:paraId="512C1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（四）促成当事人达成一致意见。</w:t>
      </w:r>
    </w:p>
    <w:p w14:paraId="73D6F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调解过程应全程录音录像（当事人明确拒绝的除外），如实填写《行政调解记录》，笔录由当事人、调解员签字确认；当事人拒绝签字的，调解员应在笔录中注明。</w:t>
      </w:r>
    </w:p>
    <w:p w14:paraId="744E4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调解可采取现场调解、线上调解（电话、视频）等方式，线上调解需征得双方当事人同意，留存完整的调解记录和音视频资料。</w:t>
      </w:r>
    </w:p>
    <w:p w14:paraId="00BD0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对情绪激动、可能引发冲突的当事人，调解员应先进行情绪疏导，必要时邀请行业专家、当事人亲属参与调解；对涉及弱势群体的纠纷，可协调法律援助机构为当事人提供法律援助。</w:t>
      </w:r>
    </w:p>
    <w:p w14:paraId="5EAAA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第三十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行政机关应当自决定进行行政调解之日起30日内，引导当事人自愿达成行政调解协议，或者终止行政调解；情况复杂或者有其他特殊情形，不能在规定期限内达成行政调解协议的，经行政机关负责人批准可以适当延长，但是延长期限最多不超过30日。</w:t>
      </w:r>
    </w:p>
    <w:p w14:paraId="2EB88B1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第三十八条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有下列情形之一的，行政机关应当中止行政调解，并告知当事人：</w:t>
      </w:r>
    </w:p>
    <w:p w14:paraId="6A3DCDB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（一）当事人一方因正当理由或者对方当事人认可的理由，要求暂停行政调解的；</w:t>
      </w:r>
    </w:p>
    <w:p w14:paraId="67621F6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（二）发生不可抗力或者意外事件的；</w:t>
      </w:r>
    </w:p>
    <w:p w14:paraId="34D641DD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（三）其他依法需要中止的情形。</w:t>
      </w:r>
    </w:p>
    <w:p w14:paraId="6479465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第三十九条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有下列情形之一的，行政机关应当终止行政调解，并告知当事人：</w:t>
      </w:r>
    </w:p>
    <w:p w14:paraId="7D5C259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（一）当事人要求终止行政调解的；</w:t>
      </w:r>
    </w:p>
    <w:p w14:paraId="09F004D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（二）当事人无正当理由不参加行政调解的；</w:t>
      </w:r>
    </w:p>
    <w:p w14:paraId="19D196D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（三）在行政调解过程中，人民法院、仲裁机构、有关调解组织受理当事人之间的民事纠纷的；</w:t>
      </w:r>
    </w:p>
    <w:p w14:paraId="652E3D0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（四）公民死亡或者法人、其他组织终止，无权利义务承受人或者权利义务承受人放弃行政调解的；</w:t>
      </w:r>
    </w:p>
    <w:p w14:paraId="4D53222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（五）行政调解期限届满未达成行政调解协议的；</w:t>
      </w:r>
    </w:p>
    <w:p w14:paraId="508A715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（六）法律、法规、规章规定的其他情形。</w:t>
      </w:r>
    </w:p>
    <w:p w14:paraId="1824A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调解过程中需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中止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的，出具《行政调解中止告知书》；调解终结的，出具《行政调解终止告知书》，送达当事人，并附相关材料移送至原移送部门或引导当事人通过法定渠道解决。</w:t>
      </w:r>
    </w:p>
    <w:p w14:paraId="0C396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</w:pPr>
    </w:p>
    <w:p w14:paraId="64BFC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  <w:t>第三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  <w:lang w:eastAsia="zh-CN"/>
        </w:rPr>
        <w:t xml:space="preserve">节 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u w:val="none"/>
        </w:rPr>
        <w:t>协议制作与履行</w:t>
      </w:r>
    </w:p>
    <w:p w14:paraId="6F847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当事人达成调解协议的，调解员应当场制作《行政调解协议书》，协议应载明：当事人基本信息、纠纷事实、调解结果、履行方式、履行期限、违约责任等内容，做到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条款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合法、权责清晰、可操作性强。</w:t>
      </w:r>
    </w:p>
    <w:p w14:paraId="51D6A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四十一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当事人达成口头调解协议的，填写《行政调解协议口头登记表》，由当事人、调解员签字确认，后续可根据需要补制书面协议书。</w:t>
      </w:r>
    </w:p>
    <w:p w14:paraId="0CB3E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第四十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《行政调解协议书》一式三份，当事人各执一份，行政调解组织留存一份；涉及第三方权益的，应增加协议份数，送第三方备案。协议由当事人、调解员签字（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盖章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），加盖行政调解组织专用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后生效。</w:t>
      </w:r>
    </w:p>
    <w:p w14:paraId="4762D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第四十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调解员应向当事人宣读协议内容，确认当事人理解并同意后，方可签字确认；当事人无书写能力的，可由他人代签，代签人应注明情况并签字，调解员见证签字。</w:t>
      </w:r>
    </w:p>
    <w:p w14:paraId="53057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第四十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调解协议可当场履行的，调解员应现场见证履行，填写《行政调解协议履行确认书》；限期履行的，调解员应在履行期满前3个工作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日内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提醒当事人履行，跟踪履行进度。</w:t>
      </w:r>
    </w:p>
    <w:p w14:paraId="229B6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第四十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当事人可以自行政调解协议书生效之日起30日内，共同依法向人民法院申请司法确认。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当事人申请对调解协议进行司法确认的，调解员应指导当事人准备相关材料，协助当事人通过线上或线下方式向辖区人民法院提出申请，做好司法确认衔接工作。经司法确认的调解协议，一方当事人拒不履行的，另一方当事人可依法申请法院强制执行。</w:t>
      </w:r>
    </w:p>
    <w:p w14:paraId="2409F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第四十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协议履行完毕后，调解员应在3个工作日内填写《行政调解矛盾纠纷调处结果反馈单》，反馈至原移送部门（如有）；未履行的，应及时启动督促程序，督促当事人履行，仍不履行的，引导当事人通过司法途径解决。</w:t>
      </w:r>
    </w:p>
    <w:p w14:paraId="6C602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u w:val="none"/>
        </w:rPr>
      </w:pPr>
    </w:p>
    <w:p w14:paraId="67F81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u w:val="none"/>
        </w:rPr>
      </w:pPr>
    </w:p>
    <w:p w14:paraId="0A43A2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卷宗管理</w:t>
      </w:r>
    </w:p>
    <w:p w14:paraId="6498EB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78554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四十七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行政调解实行一案一卷管理制度，调解结案后，相关材料应及时立卷归档；简易现场调解纠纷，可按月集中组卷归档，卷宗由各行政调解组织专人保管，定期移交至所属单位档案室。</w:t>
      </w:r>
    </w:p>
    <w:p w14:paraId="381E2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四十八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调解卷宗应包含以下材料（按顺序排列）：</w:t>
      </w:r>
    </w:p>
    <w:p w14:paraId="75A82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（一）卷宗封面；</w:t>
      </w:r>
    </w:p>
    <w:p w14:paraId="47DB2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（二）卷内目录；</w:t>
      </w:r>
    </w:p>
    <w:p w14:paraId="62630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（三）《行政调解申请书》/《行政调解口头申请笔录》/《行政调解矛盾纠纷移送单》；</w:t>
      </w:r>
    </w:p>
    <w:p w14:paraId="0CA0D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（四）《行政调解受理登记表》；</w:t>
      </w:r>
    </w:p>
    <w:p w14:paraId="5D1EF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（五）《行政调解受理通知书》/《行政调解不予受理通知书》；</w:t>
      </w:r>
    </w:p>
    <w:p w14:paraId="40394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（六）当事人身份证明、证据材料；</w:t>
      </w:r>
    </w:p>
    <w:p w14:paraId="69A02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（七）《权利义务告知书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行政调解告知书》；</w:t>
      </w:r>
    </w:p>
    <w:p w14:paraId="4BF00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（八）《行政调解调查记录》；</w:t>
      </w:r>
    </w:p>
    <w:p w14:paraId="1AD07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（九）《行政调解记录》；</w:t>
      </w:r>
    </w:p>
    <w:p w14:paraId="7FFFC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（十）《行政调解协议书》/《行政调解协议口头登记表》/《行政调解中止告知书》/《行政调解终止告知书》；</w:t>
      </w:r>
    </w:p>
    <w:p w14:paraId="236EC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（十一）《行政调解协议履行确认书》/《行政调解矛盾纠纷调处结果反馈单》；</w:t>
      </w:r>
    </w:p>
    <w:p w14:paraId="67737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（十二）司法确认相关材料；</w:t>
      </w:r>
    </w:p>
    <w:p w14:paraId="679C0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（十三）《行政调解回访记录》；</w:t>
      </w:r>
    </w:p>
    <w:p w14:paraId="58CD0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（十四）《卷宗情况说明》；</w:t>
      </w:r>
    </w:p>
    <w:p w14:paraId="389F7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（十五）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卷宗封底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；</w:t>
      </w:r>
    </w:p>
    <w:p w14:paraId="09384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（十六）其他相关材料。</w:t>
      </w:r>
    </w:p>
    <w:p w14:paraId="20687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四十九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调解卷宗的文书制作应符合规范要求，使用钢笔、水笔书写或打印，字体清晰、内容完整，不得涂改；音视频资料应单独存储，标注案件编号、当事人姓名、调解时间，保存期限与卷宗一致。</w:t>
      </w:r>
    </w:p>
    <w:p w14:paraId="66E84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第五十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调解员应在调解案件办结后30日内完成立卷工作，核对材料完整性，按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本细则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第四十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规定的顺序排列装订，逐页编码（正面右上角、背面左上角），卷宗封面、卷内目录、备考表等无文字页面不编码。</w:t>
      </w:r>
    </w:p>
    <w:p w14:paraId="2B938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第五十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调解卷宗保管期限为长期，一般不少于10年；涉及重大矛盾纠纷、群体性事件的卷宗，永久保管。</w:t>
      </w:r>
    </w:p>
    <w:p w14:paraId="3333C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第五十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卷宗查阅、复制需履行审批手续，查阅人员应遵守保密规定，不得泄露卷宗内容，不得涂改、损毁、转借卷宗。</w:t>
      </w:r>
    </w:p>
    <w:p w14:paraId="2C4F2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u w:val="none"/>
        </w:rPr>
      </w:pPr>
    </w:p>
    <w:p w14:paraId="447091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  <w:lang w:val="en-US" w:eastAsia="zh-CN"/>
        </w:rPr>
        <w:t>工作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保障</w:t>
      </w:r>
    </w:p>
    <w:p w14:paraId="53FDE2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24F9F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五十三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建立行政调解工作经验提炼与推广机制，区司法局每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梳理优秀调解案例、典型工作做法，形成标准化操作流程，通过现场观摩、业务交流等形式在辖区内推广。</w:t>
      </w:r>
    </w:p>
    <w:p w14:paraId="6FE89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五十四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分批次推进行政调解工作全覆盖：在市场监管、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卫生健康、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公安、交通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、文旅、海洋渔业、农业农村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、教体、民政、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林业、环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等矛盾纠纷高发领域实现行政调解组织全覆盖；</w:t>
      </w:r>
    </w:p>
    <w:p w14:paraId="16D49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五十五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加强行政调解工作宣传，通过政务公众号、短视频平台、线下宣传活动等形式，宣传行政调解的优势、流程、典型案例及执调融合机制，提升群众知晓率和认可度，引导群众优先选择行政调解化解矛盾纠纷。</w:t>
      </w:r>
    </w:p>
    <w:p w14:paraId="66B3F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五十六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各单位按标准化要求建设行政调解组织，配备必要的办公、调解设施，保障调解工作正常开展；区司法局定期对阵地建设情况进行督导检查，对未达标的单位限期整改。</w:t>
      </w:r>
    </w:p>
    <w:p w14:paraId="73EF2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五十七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建立部门协作保障机制，区司法局负责业务指导，各行政部门负责本领域纠纷调处和资源保障，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区司法局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统筹跨部门纠纷协调，形成“多方联动、齐抓共管”的工作格局。</w:t>
      </w:r>
    </w:p>
    <w:p w14:paraId="67340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16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u w:val="none"/>
        </w:rPr>
      </w:pPr>
    </w:p>
    <w:p w14:paraId="5E14FC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附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highlight w:val="none"/>
          <w:u w:val="none"/>
        </w:rPr>
        <w:t>则</w:t>
      </w:r>
    </w:p>
    <w:p w14:paraId="5211C2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="黑体" w:hAnsi="黑体" w:eastAsia="黑体" w:cs="黑体"/>
          <w:sz w:val="36"/>
          <w:szCs w:val="36"/>
          <w:highlight w:val="none"/>
          <w:u w:val="none"/>
        </w:rPr>
      </w:pPr>
    </w:p>
    <w:p w14:paraId="3997A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五十八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本细则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由区司法局负责解释。</w:t>
      </w:r>
    </w:p>
    <w:p w14:paraId="4BD22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五十九条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本细则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未尽事宜，按照国家、省、市相关法律法规和政策规定执行。</w:t>
      </w:r>
    </w:p>
    <w:p w14:paraId="39DFD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</w:rPr>
        <w:t>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 xml:space="preserve"> 本细则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自印发之日起施行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有效期一年，自2026年7月27日至2027年7月27日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。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0" w:num="1"/>
      <w:rtlGutter w:val="0"/>
      <w:docGrid w:type="linesAndChars" w:linePitch="348" w:charSpace="-250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altName w:val="微软雅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9D64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3F7A6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3F7A66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86B22"/>
    <w:multiLevelType w:val="singleLevel"/>
    <w:tmpl w:val="65286B22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72055FDA"/>
    <w:multiLevelType w:val="singleLevel"/>
    <w:tmpl w:val="72055FDA"/>
    <w:lvl w:ilvl="0" w:tentative="0">
      <w:start w:val="6"/>
      <w:numFmt w:val="chineseCounting"/>
      <w:suff w:val="space"/>
      <w:lvlText w:val="第%1条"/>
      <w:lvlJc w:val="left"/>
      <w:rPr>
        <w:rFonts w:hint="eastAsia" w:ascii="黑体" w:hAnsi="黑体" w:eastAsia="黑体" w:cs="黑体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97811"/>
    <w:rsid w:val="01893F11"/>
    <w:rsid w:val="01AA0585"/>
    <w:rsid w:val="031F73B6"/>
    <w:rsid w:val="0380383F"/>
    <w:rsid w:val="038C439B"/>
    <w:rsid w:val="05A3787B"/>
    <w:rsid w:val="06B86A37"/>
    <w:rsid w:val="06EA101E"/>
    <w:rsid w:val="07834DF6"/>
    <w:rsid w:val="083E0A9E"/>
    <w:rsid w:val="08763936"/>
    <w:rsid w:val="09057DA1"/>
    <w:rsid w:val="09EA5875"/>
    <w:rsid w:val="0B3864F3"/>
    <w:rsid w:val="0C320371"/>
    <w:rsid w:val="0C5C62F2"/>
    <w:rsid w:val="0ED6708F"/>
    <w:rsid w:val="0EE01426"/>
    <w:rsid w:val="0F130495"/>
    <w:rsid w:val="0F3A5619"/>
    <w:rsid w:val="0F4C0A4B"/>
    <w:rsid w:val="0FC14530"/>
    <w:rsid w:val="10CE27F7"/>
    <w:rsid w:val="10D0642C"/>
    <w:rsid w:val="11BA02F0"/>
    <w:rsid w:val="1285179C"/>
    <w:rsid w:val="12FA3036"/>
    <w:rsid w:val="13873A19"/>
    <w:rsid w:val="13AC16D1"/>
    <w:rsid w:val="144E4536"/>
    <w:rsid w:val="15075A0D"/>
    <w:rsid w:val="15B64A89"/>
    <w:rsid w:val="16442095"/>
    <w:rsid w:val="16895CCA"/>
    <w:rsid w:val="16FC471D"/>
    <w:rsid w:val="184E25B4"/>
    <w:rsid w:val="186155FB"/>
    <w:rsid w:val="18850F38"/>
    <w:rsid w:val="18BA2FC6"/>
    <w:rsid w:val="19BA322A"/>
    <w:rsid w:val="1B2B55D1"/>
    <w:rsid w:val="1B471747"/>
    <w:rsid w:val="1D7D7D22"/>
    <w:rsid w:val="1D81683F"/>
    <w:rsid w:val="1DEA1774"/>
    <w:rsid w:val="1E204DE2"/>
    <w:rsid w:val="1F3031B6"/>
    <w:rsid w:val="1F8D49AB"/>
    <w:rsid w:val="1F9743A9"/>
    <w:rsid w:val="1FC87893"/>
    <w:rsid w:val="20647D92"/>
    <w:rsid w:val="208C266E"/>
    <w:rsid w:val="21413899"/>
    <w:rsid w:val="22713434"/>
    <w:rsid w:val="22803731"/>
    <w:rsid w:val="22E93EFF"/>
    <w:rsid w:val="23372ABA"/>
    <w:rsid w:val="23AF46C5"/>
    <w:rsid w:val="245C59BF"/>
    <w:rsid w:val="249F66E2"/>
    <w:rsid w:val="250A44A9"/>
    <w:rsid w:val="268A1001"/>
    <w:rsid w:val="26CD578F"/>
    <w:rsid w:val="26CF1B59"/>
    <w:rsid w:val="26D82824"/>
    <w:rsid w:val="271D6716"/>
    <w:rsid w:val="273F3A52"/>
    <w:rsid w:val="27C13545"/>
    <w:rsid w:val="290A7832"/>
    <w:rsid w:val="2A3A75DF"/>
    <w:rsid w:val="2B2F0EFE"/>
    <w:rsid w:val="2B5E674A"/>
    <w:rsid w:val="2B7C7221"/>
    <w:rsid w:val="2BCE4483"/>
    <w:rsid w:val="2EF635F7"/>
    <w:rsid w:val="30672C23"/>
    <w:rsid w:val="3079091D"/>
    <w:rsid w:val="30F57DBC"/>
    <w:rsid w:val="317C1016"/>
    <w:rsid w:val="31E2050C"/>
    <w:rsid w:val="32D33F02"/>
    <w:rsid w:val="33DC5967"/>
    <w:rsid w:val="34DD74E5"/>
    <w:rsid w:val="352766DE"/>
    <w:rsid w:val="35970C50"/>
    <w:rsid w:val="365F439F"/>
    <w:rsid w:val="3C1138EF"/>
    <w:rsid w:val="3C920DF9"/>
    <w:rsid w:val="3D4C120A"/>
    <w:rsid w:val="3D5C4265"/>
    <w:rsid w:val="3DEA33A6"/>
    <w:rsid w:val="3E16775C"/>
    <w:rsid w:val="3E5D023F"/>
    <w:rsid w:val="40827192"/>
    <w:rsid w:val="433171C2"/>
    <w:rsid w:val="45AA59ED"/>
    <w:rsid w:val="46F522DA"/>
    <w:rsid w:val="47262F6D"/>
    <w:rsid w:val="47D13AF4"/>
    <w:rsid w:val="48A979B2"/>
    <w:rsid w:val="49A914B7"/>
    <w:rsid w:val="4A225C6E"/>
    <w:rsid w:val="4A940CA0"/>
    <w:rsid w:val="4B2D2F15"/>
    <w:rsid w:val="4D76231D"/>
    <w:rsid w:val="4D782049"/>
    <w:rsid w:val="4DB7328E"/>
    <w:rsid w:val="4E525BEA"/>
    <w:rsid w:val="4EA36C51"/>
    <w:rsid w:val="4ECE0172"/>
    <w:rsid w:val="4F8B1BBF"/>
    <w:rsid w:val="4F8E0C30"/>
    <w:rsid w:val="4F9655AB"/>
    <w:rsid w:val="50AB6763"/>
    <w:rsid w:val="52742F9B"/>
    <w:rsid w:val="53485B3C"/>
    <w:rsid w:val="57D367F9"/>
    <w:rsid w:val="57EB7D2B"/>
    <w:rsid w:val="59252699"/>
    <w:rsid w:val="59A321FB"/>
    <w:rsid w:val="5B2328C3"/>
    <w:rsid w:val="5B3D3D26"/>
    <w:rsid w:val="5BFC387C"/>
    <w:rsid w:val="5CF10E39"/>
    <w:rsid w:val="5D6417D1"/>
    <w:rsid w:val="5E7D301B"/>
    <w:rsid w:val="5EBB7C49"/>
    <w:rsid w:val="5EBC2507"/>
    <w:rsid w:val="5F761901"/>
    <w:rsid w:val="608924B5"/>
    <w:rsid w:val="611B5E58"/>
    <w:rsid w:val="61A56B0A"/>
    <w:rsid w:val="61A82AA5"/>
    <w:rsid w:val="62D13935"/>
    <w:rsid w:val="62F87D24"/>
    <w:rsid w:val="63E45BD4"/>
    <w:rsid w:val="63FE2A86"/>
    <w:rsid w:val="64346872"/>
    <w:rsid w:val="650959FF"/>
    <w:rsid w:val="653C33D6"/>
    <w:rsid w:val="657F6A19"/>
    <w:rsid w:val="65A43583"/>
    <w:rsid w:val="68411AA8"/>
    <w:rsid w:val="68787F8E"/>
    <w:rsid w:val="693D3182"/>
    <w:rsid w:val="69711511"/>
    <w:rsid w:val="6A163A9F"/>
    <w:rsid w:val="6A925EB4"/>
    <w:rsid w:val="6B493507"/>
    <w:rsid w:val="6CE57AA9"/>
    <w:rsid w:val="6F2D3139"/>
    <w:rsid w:val="6F7D6BA9"/>
    <w:rsid w:val="6FF17CC7"/>
    <w:rsid w:val="71FB452B"/>
    <w:rsid w:val="72005FE5"/>
    <w:rsid w:val="73CB67D8"/>
    <w:rsid w:val="73E659A0"/>
    <w:rsid w:val="74BD640F"/>
    <w:rsid w:val="75216216"/>
    <w:rsid w:val="75C11C82"/>
    <w:rsid w:val="767B19C5"/>
    <w:rsid w:val="76FF200A"/>
    <w:rsid w:val="788274D1"/>
    <w:rsid w:val="794B27E1"/>
    <w:rsid w:val="79BFD078"/>
    <w:rsid w:val="7A066163"/>
    <w:rsid w:val="7B995084"/>
    <w:rsid w:val="7BE6712F"/>
    <w:rsid w:val="7CD83088"/>
    <w:rsid w:val="7D3711A6"/>
    <w:rsid w:val="7F4C1C88"/>
    <w:rsid w:val="95DE86E4"/>
    <w:rsid w:val="CFFDC2D7"/>
    <w:rsid w:val="DD7FF7A0"/>
    <w:rsid w:val="EA7BBAE9"/>
    <w:rsid w:val="F762F1E0"/>
    <w:rsid w:val="FA7303FC"/>
    <w:rsid w:val="FEDEC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0db04888-1f4e-4e66-b838-156e6851b6ed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486520C6</paraID>
      <start xmlns="http://schemas.wps.cn/vas-ai-hub/contract-review">12</start>
      <end xmlns="http://schemas.wps.cn/vas-ai-hub/contract-review">17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847cba0b-9a5f-41aa-9a85-dc1f663d23ea</errorID>
      <errorWord xmlns="http://schemas.wps.cn/vas-ai-hub/contract-review">拥护中国共产党的领导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拥护中国共产党领导</item>
      </candidateList>
      <explain xmlns="http://schemas.wps.cn/vas-ai-hub/contract-review">词汇“拥护中国共产党领导”在特定场景下为固定表述形式，请确认此处的“拥护中国共产党的领导”是否存在不当。</explain>
      <paraID xmlns="http://schemas.wps.cn/vas-ai-hub/contract-review">3A5DF4A7</paraID>
      <start xmlns="http://schemas.wps.cn/vas-ai-hub/contract-review">3</start>
      <end xmlns="http://schemas.wps.cn/vas-ai-hub/contract-review">13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763a5639-2ed7-4955-94d6-1d0ca4c0a7c7</errorID>
      <errorWord xmlns="http://schemas.wps.cn/vas-ai-hub/contract-review">调解员有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调解员</item>
      </candidateList>
      <explain xmlns="http://schemas.wps.cn/vas-ai-hub/contract-review"/>
      <paraID xmlns="http://schemas.wps.cn/vas-ai-hub/contract-review">7BD64C45</paraID>
      <start xmlns="http://schemas.wps.cn/vas-ai-hub/contract-review">5</start>
      <end xmlns="http://schemas.wps.cn/vas-ai-hub/contract-review">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5f724bab-e675-44e1-ad41-6679a2b9813e</errorID>
      <errorWord xmlns="http://schemas.wps.cn/vas-ai-hub/contract-review">九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九条</item>
      </candidateList>
      <explain xmlns="http://schemas.wps.cn/vas-ai-hub/contract-review"/>
      <paraID xmlns="http://schemas.wps.cn/vas-ai-hub/contract-review">7A9D55FA</paraID>
      <start xmlns="http://schemas.wps.cn/vas-ai-hub/contract-review">2</start>
      <end xmlns="http://schemas.wps.cn/vas-ai-hub/contract-review">4</end>
      <status xmlns="http://schemas.wps.cn/vas-ai-hub/contract-review">modified</status>
      <modifiedWord xmlns="http://schemas.wps.cn/vas-ai-hub/contract-review">九条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b3ae5a69-9094-4073-8bbb-fa2d1775f6ac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7A9D55FA</paraID>
      <start xmlns="http://schemas.wps.cn/vas-ai-hub/contract-review">5</start>
      <end xmlns="http://schemas.wps.cn/vas-ai-hub/contract-review">10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65c3abf7-f963-4912-b070-8904088ef372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6155661B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89aad7e8-d1a7-471b-b976-aa2a99a50efc</errorID>
      <errorWord xmlns="http://schemas.wps.cn/vas-ai-hub/contract-review">一岗双责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‘一岗双责’</item>
      </candidateList>
      <explain xmlns="http://schemas.wps.cn/vas-ai-hub/contract-review">注意检查当前固定表述标点是否使用规范。</explain>
      <paraID xmlns="http://schemas.wps.cn/vas-ai-hub/contract-review">5E7CC187</paraID>
      <start xmlns="http://schemas.wps.cn/vas-ai-hub/contract-review">32</start>
      <end xmlns="http://schemas.wps.cn/vas-ai-hub/contract-review">36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eed4d6bc-736b-4130-bcd8-c43eabd3c658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508A7159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a4830285-0c9d-4275-9bf2-b9209daa3329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785CF638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3c4b67-93bc-4a7b-b5a7-9ff2d1e6b5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5955</Words>
  <Characters>5969</Characters>
  <Lines>0</Lines>
  <Paragraphs>0</Paragraphs>
  <TotalTime>114</TotalTime>
  <ScaleCrop>false</ScaleCrop>
  <LinksUpToDate>false</LinksUpToDate>
  <CharactersWithSpaces>6032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2024-07-21T08:18:00Z</dcterms:created>
  <dc:creator>Administrator</dc:creator>
  <cp:lastModifiedBy>MH</cp:lastModifiedBy>
  <cp:lastPrinted>2026-07-14T02:14:00Z</cp:lastPrinted>
  <dcterms:modified xsi:type="dcterms:W3CDTF">2026-07-28T01:37:12Z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B82FE0F13DD1402BBE59B2AEDC0CBF3D_13</vt:lpwstr>
  </property>
  <property fmtid="{D5CDD505-2E9C-101B-9397-08002B2CF9AE}" pid="4" name="KSOTemplateDocerSaveRecord">
    <vt:lpwstr>eyJoZGlkIjoiY2EwMDBhNWEwZmU5MDgyMTc5YWQ2Mjc2YjgyZjc2YzUiLCJ1c2VySWQiOiIxMTUyMzkxNzA3In0=</vt:lpwstr>
  </property>
</Properties>
</file>