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方正小标宋简体" w:hAnsi="宋体" w:eastAsia="方正小标宋简体"/>
          <w:color w:val="000000"/>
          <w:kern w:val="0"/>
          <w:sz w:val="44"/>
          <w:szCs w:val="44"/>
        </w:rPr>
      </w:pPr>
      <w:r>
        <w:t xml:space="preserve"> </w:t>
      </w:r>
      <w:r>
        <w:rPr>
          <w:rFonts w:hint="eastAsia" w:ascii="方正小标宋简体" w:hAnsi="宋体" w:eastAsia="方正小标宋简体" w:cs="方正小标宋简体"/>
          <w:color w:val="000000"/>
          <w:kern w:val="0"/>
          <w:sz w:val="44"/>
          <w:szCs w:val="44"/>
        </w:rPr>
        <w:t>关于</w:t>
      </w:r>
      <w:r>
        <w:rPr>
          <w:rFonts w:ascii="方正小标宋简体" w:hAnsi="宋体" w:eastAsia="方正小标宋简体" w:cs="方正小标宋简体"/>
          <w:color w:val="000000"/>
          <w:kern w:val="0"/>
          <w:sz w:val="44"/>
          <w:szCs w:val="44"/>
        </w:rPr>
        <w:t>201</w:t>
      </w:r>
      <w:r>
        <w:rPr>
          <w:rFonts w:hint="eastAsia" w:ascii="方正小标宋简体" w:hAnsi="宋体" w:eastAsia="方正小标宋简体" w:cs="方正小标宋简体"/>
          <w:color w:val="000000"/>
          <w:kern w:val="0"/>
          <w:sz w:val="44"/>
          <w:szCs w:val="44"/>
        </w:rPr>
        <w:t>9年度莱山区预算执行和其他财政收支审计查出问题整改情况的报告</w:t>
      </w:r>
    </w:p>
    <w:p>
      <w:pPr>
        <w:widowControl/>
        <w:spacing w:line="600" w:lineRule="exact"/>
        <w:jc w:val="left"/>
        <w:rPr>
          <w:rFonts w:ascii="仿宋_GB2312" w:hAnsi="Arial"/>
          <w:color w:val="000000"/>
          <w:kern w:val="0"/>
        </w:rPr>
      </w:pPr>
    </w:p>
    <w:p>
      <w:pPr>
        <w:spacing w:line="600" w:lineRule="exact"/>
        <w:rPr>
          <w:rFonts w:ascii="黑体" w:hAnsi="黑体" w:eastAsia="黑体"/>
        </w:rPr>
      </w:pPr>
      <w:r>
        <w:rPr>
          <w:rFonts w:ascii="仿宋_GB2312" w:hAnsi="宋体" w:cs="仿宋_GB2312"/>
        </w:rPr>
        <w:t xml:space="preserve">    </w:t>
      </w:r>
      <w:r>
        <w:rPr>
          <w:rFonts w:hint="eastAsia" w:ascii="黑体" w:hAnsi="黑体" w:eastAsia="黑体" w:cs="黑体"/>
        </w:rPr>
        <w:t>一、区级预算管理和决算草案审计查出问题的整改情况</w:t>
      </w:r>
    </w:p>
    <w:p>
      <w:pPr>
        <w:spacing w:line="600" w:lineRule="exact"/>
        <w:rPr>
          <w:rFonts w:ascii="楷体_GB2312" w:hAnsi="仿宋_GB2312" w:eastAsia="楷体_GB2312"/>
        </w:rPr>
      </w:pPr>
      <w:r>
        <w:t xml:space="preserve">   </w:t>
      </w:r>
      <w:r>
        <w:rPr>
          <w:rFonts w:hint="eastAsia" w:ascii="楷体_GB2312" w:hAnsi="仿宋_GB2312" w:eastAsia="楷体_GB2312" w:cs="楷体_GB2312"/>
        </w:rPr>
        <w:t>（一）</w:t>
      </w:r>
      <w:r>
        <w:rPr>
          <w:rFonts w:hint="eastAsia" w:ascii="楷体_GB2312" w:hAnsi="仿宋_GB2312" w:eastAsia="楷体_GB2312"/>
          <w:szCs w:val="20"/>
        </w:rPr>
        <w:t>全口径预算管理</w:t>
      </w:r>
      <w:r>
        <w:rPr>
          <w:rFonts w:hint="eastAsia" w:ascii="楷体_GB2312" w:hAnsi="仿宋_GB2312" w:eastAsia="楷体_GB2312" w:cs="楷体_GB2312"/>
        </w:rPr>
        <w:t>方面存在的问题</w:t>
      </w:r>
    </w:p>
    <w:p>
      <w:pPr>
        <w:spacing w:line="600" w:lineRule="exact"/>
        <w:ind w:firstLine="640" w:firstLineChars="200"/>
        <w:rPr>
          <w:rFonts w:ascii="仿宋_GB2312"/>
        </w:rPr>
      </w:pPr>
      <w:r>
        <w:rPr>
          <w:rFonts w:ascii="仿宋_GB2312" w:hAnsi="仿宋_GB2312" w:cs="仿宋_GB2312"/>
        </w:rPr>
        <w:t>1.</w:t>
      </w:r>
      <w:r>
        <w:rPr>
          <w:rFonts w:hint="eastAsia" w:ascii="仿宋_GB2312" w:hAnsi="仿宋_GB2312" w:cs="仿宋_GB2312"/>
        </w:rPr>
        <w:t>财政收入未及时足额缴库的问题。区财政部门已于9月9日将273.4万元国有资产收</w:t>
      </w:r>
      <w:bookmarkStart w:id="0" w:name="_GoBack"/>
      <w:bookmarkEnd w:id="0"/>
      <w:r>
        <w:rPr>
          <w:rFonts w:hint="eastAsia" w:ascii="仿宋_GB2312" w:hAnsi="仿宋_GB2312" w:cs="仿宋_GB2312"/>
        </w:rPr>
        <w:t>益缴入国库。下一步将加强预算收入管理，确保财政收入及时足额入库。</w:t>
      </w:r>
    </w:p>
    <w:p>
      <w:pPr>
        <w:spacing w:line="600" w:lineRule="exact"/>
        <w:ind w:firstLine="640" w:firstLineChars="200"/>
        <w:rPr>
          <w:rFonts w:ascii="仿宋_GB2312"/>
        </w:rPr>
      </w:pPr>
      <w:r>
        <w:rPr>
          <w:rFonts w:ascii="仿宋_GB2312" w:hAnsi="仿宋_GB2312" w:cs="仿宋_GB2312"/>
        </w:rPr>
        <w:t>2.</w:t>
      </w:r>
      <w:r>
        <w:rPr>
          <w:rFonts w:hint="eastAsia" w:ascii="仿宋_GB2312" w:hAnsi="仿宋_GB2312"/>
          <w:szCs w:val="20"/>
        </w:rPr>
        <w:t>年初预算批复不到位，年初预算安排项目资金未细化</w:t>
      </w:r>
      <w:r>
        <w:rPr>
          <w:rFonts w:hint="eastAsia" w:ascii="仿宋_GB2312" w:hAnsi="仿宋_GB2312" w:cs="仿宋_GB2312"/>
        </w:rPr>
        <w:t>的问题。区财政部门将在编制2021年政府预算时，进一步健全支出标准体系，早编细编预算，逐步将所有资金按要求细化到部门和具体项目，提高部门预算到位率</w:t>
      </w:r>
      <w:r>
        <w:rPr>
          <w:rFonts w:hint="eastAsia" w:ascii="仿宋_GB2312"/>
        </w:rPr>
        <w:t>。</w:t>
      </w:r>
    </w:p>
    <w:p>
      <w:pPr>
        <w:spacing w:line="600" w:lineRule="exact"/>
        <w:ind w:firstLine="640" w:firstLineChars="200"/>
        <w:rPr>
          <w:rFonts w:ascii="仿宋_GB2312" w:hAnsi="仿宋_GB2312"/>
          <w:szCs w:val="20"/>
        </w:rPr>
      </w:pPr>
      <w:r>
        <w:rPr>
          <w:rFonts w:ascii="仿宋_GB2312" w:hAnsi="仿宋_GB2312" w:cs="仿宋_GB2312"/>
        </w:rPr>
        <w:t>3.</w:t>
      </w:r>
      <w:r>
        <w:rPr>
          <w:rFonts w:hint="eastAsia" w:ascii="仿宋_GB2312" w:hAnsi="仿宋_GB2312"/>
        </w:rPr>
        <w:t>非税收入中有专项用途的收入未统筹安排使用的问题。</w:t>
      </w:r>
      <w:r>
        <w:rPr>
          <w:rFonts w:hint="eastAsia" w:ascii="仿宋_GB2312" w:hAnsi="仿宋_GB2312" w:cs="仿宋_GB2312"/>
        </w:rPr>
        <w:t>区财政部门将加大对政府性基金拨付力度，年底在确保正常运转的前提下，将部分结转结余及时调入一般公共预算统筹使用。</w:t>
      </w:r>
    </w:p>
    <w:p>
      <w:pPr>
        <w:spacing w:line="600" w:lineRule="exact"/>
        <w:ind w:firstLine="640" w:firstLineChars="200"/>
        <w:rPr>
          <w:rFonts w:ascii="楷体_GB2312" w:hAnsi="仿宋_GB2312" w:eastAsia="楷体_GB2312" w:cs="楷体_GB2312"/>
        </w:rPr>
      </w:pPr>
      <w:r>
        <w:rPr>
          <w:rFonts w:hint="eastAsia" w:ascii="楷体_GB2312" w:hAnsi="仿宋_GB2312" w:eastAsia="楷体_GB2312" w:cs="楷体_GB2312"/>
        </w:rPr>
        <w:t>（二）</w:t>
      </w:r>
      <w:r>
        <w:rPr>
          <w:rFonts w:hint="eastAsia" w:ascii="楷体_GB2312" w:hAnsi="仿宋_GB2312" w:eastAsia="楷体_GB2312"/>
          <w:szCs w:val="20"/>
        </w:rPr>
        <w:t>财政资金分配管理及财政资金统筹盘活</w:t>
      </w:r>
      <w:r>
        <w:rPr>
          <w:rFonts w:hint="eastAsia" w:ascii="楷体_GB2312" w:hAnsi="仿宋_GB2312" w:eastAsia="楷体_GB2312" w:cs="楷体_GB2312"/>
        </w:rPr>
        <w:t>方面存在的问题</w:t>
      </w:r>
    </w:p>
    <w:p>
      <w:pPr>
        <w:spacing w:line="600" w:lineRule="exact"/>
        <w:ind w:left="106" w:leftChars="33" w:firstLine="636" w:firstLineChars="199"/>
        <w:rPr>
          <w:rFonts w:ascii="仿宋_GB2312"/>
        </w:rPr>
      </w:pPr>
      <w:r>
        <w:rPr>
          <w:rFonts w:hint="eastAsia" w:ascii="仿宋_GB2312"/>
        </w:rPr>
        <w:t>1.上级专项资金未及时分配的问题。截至目前，区财政部门已将2018年上级专款30811.26万元全部下达资金指标。</w:t>
      </w:r>
    </w:p>
    <w:p>
      <w:pPr>
        <w:spacing w:line="600" w:lineRule="exact"/>
        <w:ind w:left="106" w:leftChars="33" w:firstLine="636" w:firstLineChars="199"/>
        <w:rPr>
          <w:rFonts w:ascii="仿宋_GB2312"/>
        </w:rPr>
      </w:pPr>
      <w:r>
        <w:rPr>
          <w:rFonts w:hint="eastAsia" w:ascii="仿宋_GB2312"/>
        </w:rPr>
        <w:t>2.区财政局为预算部门代管资金长期挂账的问题。区财政部门已于8月25日将长期挂账资金37.18万元缴入国库。</w:t>
      </w:r>
    </w:p>
    <w:p>
      <w:pPr>
        <w:spacing w:line="600" w:lineRule="exact"/>
        <w:ind w:left="106" w:leftChars="33" w:firstLine="636" w:firstLineChars="199"/>
        <w:rPr>
          <w:rFonts w:ascii="仿宋_GB2312"/>
        </w:rPr>
      </w:pPr>
      <w:r>
        <w:rPr>
          <w:rFonts w:hint="eastAsia" w:ascii="仿宋_GB2312"/>
        </w:rPr>
        <w:t>3.预算部门连续结转资金未盘活收回的问题。相关部门已将未盘活资金302.08万元上缴财政，由财政统筹安排使用。</w:t>
      </w:r>
    </w:p>
    <w:p>
      <w:pPr>
        <w:spacing w:line="600" w:lineRule="exact"/>
        <w:ind w:firstLine="640" w:firstLineChars="200"/>
        <w:rPr>
          <w:rFonts w:ascii="楷体_GB2312" w:hAnsi="仿宋_GB2312" w:eastAsia="楷体_GB2312" w:cs="楷体_GB2312"/>
        </w:rPr>
      </w:pPr>
      <w:r>
        <w:rPr>
          <w:rFonts w:hint="eastAsia" w:ascii="楷体_GB2312" w:hAnsi="仿宋_GB2312" w:eastAsia="楷体_GB2312" w:cs="楷体_GB2312"/>
        </w:rPr>
        <w:t>（三）</w:t>
      </w:r>
      <w:r>
        <w:rPr>
          <w:rFonts w:hint="eastAsia" w:ascii="楷体_GB2312" w:hAnsi="仿宋_GB2312" w:eastAsia="楷体_GB2312"/>
        </w:rPr>
        <w:t>预算绩效管理</w:t>
      </w:r>
      <w:r>
        <w:rPr>
          <w:rFonts w:hint="eastAsia" w:ascii="楷体_GB2312" w:hAnsi="仿宋_GB2312" w:eastAsia="楷体_GB2312" w:cs="楷体_GB2312"/>
        </w:rPr>
        <w:t>方面存在的问题</w:t>
      </w:r>
    </w:p>
    <w:p>
      <w:pPr>
        <w:spacing w:line="600" w:lineRule="exact"/>
        <w:ind w:firstLine="800" w:firstLineChars="250"/>
        <w:rPr>
          <w:rFonts w:ascii="仿宋_GB2312"/>
        </w:rPr>
      </w:pPr>
      <w:r>
        <w:rPr>
          <w:rFonts w:hint="eastAsia" w:ascii="仿宋_GB2312"/>
        </w:rPr>
        <w:t>1.未组织预算部门将预算绩效目标编入年度预算，仍对其进行预算安排的问题。区财政部门在组织预算部门编制2020年部门预算时，要求预算部门对投资发展类项目必须设置绩效目标，否则不予安排预算资金，并开展相应的绩效自评。</w:t>
      </w:r>
    </w:p>
    <w:p>
      <w:pPr>
        <w:spacing w:line="600" w:lineRule="exact"/>
        <w:ind w:firstLine="800" w:firstLineChars="250"/>
        <w:rPr>
          <w:rFonts w:ascii="仿宋_GB2312"/>
        </w:rPr>
      </w:pPr>
      <w:r>
        <w:rPr>
          <w:rFonts w:hint="eastAsia" w:ascii="仿宋_GB2312"/>
        </w:rPr>
        <w:t>2.预算绩效自评覆盖面小、财政对绩效自评监督不到位的问题。下一步区财政部门将加大对预算部门项目自评表和自评报告的检查力度，对不符合要求的责令整改，逐步完善预算部门绩效管理工作。</w:t>
      </w:r>
    </w:p>
    <w:p>
      <w:pPr>
        <w:spacing w:line="600" w:lineRule="exact"/>
        <w:ind w:firstLine="640" w:firstLineChars="200"/>
        <w:rPr>
          <w:rFonts w:ascii="楷体_GB2312" w:hAnsi="仿宋_GB2312" w:eastAsia="楷体_GB2312" w:cs="楷体_GB2312"/>
        </w:rPr>
      </w:pPr>
      <w:r>
        <w:rPr>
          <w:rFonts w:hint="eastAsia" w:ascii="楷体_GB2312" w:hAnsi="仿宋_GB2312" w:eastAsia="楷体_GB2312" w:cs="楷体_GB2312"/>
        </w:rPr>
        <w:t>（四）</w:t>
      </w:r>
      <w:r>
        <w:rPr>
          <w:rFonts w:hint="eastAsia" w:ascii="楷体_GB2312" w:hAnsi="仿宋_GB2312" w:eastAsia="楷体_GB2312"/>
          <w:szCs w:val="20"/>
        </w:rPr>
        <w:t>政府采购</w:t>
      </w:r>
      <w:r>
        <w:rPr>
          <w:rFonts w:hint="eastAsia" w:ascii="楷体_GB2312" w:hAnsi="仿宋_GB2312" w:eastAsia="楷体_GB2312" w:cs="楷体_GB2312"/>
        </w:rPr>
        <w:t>方面存在的问题</w:t>
      </w:r>
    </w:p>
    <w:p>
      <w:pPr>
        <w:spacing w:line="600" w:lineRule="exact"/>
        <w:ind w:firstLine="800" w:firstLineChars="250"/>
        <w:rPr>
          <w:rFonts w:ascii="楷体_GB2312" w:hAnsi="仿宋_GB2312" w:eastAsia="楷体_GB2312"/>
        </w:rPr>
      </w:pPr>
      <w:r>
        <w:rPr>
          <w:rFonts w:hint="eastAsia" w:ascii="仿宋_GB2312"/>
        </w:rPr>
        <w:t>未组织部门编制政府购买服务预算、未对政府购买服务事项进行绩效考核的问题。区财政部门进一步对政府购买服务实行规范化管理，一是编制部门预算时，组织部门填报政府购买服务预算；二是下一步对部分政府购买服务项目进行绩效考核。</w:t>
      </w:r>
    </w:p>
    <w:p>
      <w:pPr>
        <w:spacing w:line="600" w:lineRule="exact"/>
        <w:ind w:firstLine="640" w:firstLineChars="200"/>
        <w:rPr>
          <w:rFonts w:ascii="楷体_GB2312" w:hAnsi="仿宋_GB2312" w:eastAsia="楷体_GB2312" w:cs="楷体_GB2312"/>
        </w:rPr>
      </w:pPr>
      <w:r>
        <w:rPr>
          <w:rFonts w:hint="eastAsia" w:ascii="楷体_GB2312" w:hAnsi="仿宋_GB2312" w:eastAsia="楷体_GB2312" w:cs="楷体_GB2312"/>
        </w:rPr>
        <w:t>（五）</w:t>
      </w:r>
      <w:r>
        <w:rPr>
          <w:rFonts w:hint="eastAsia" w:ascii="楷体_GB2312" w:hAnsi="仿宋_GB2312" w:eastAsia="楷体_GB2312"/>
          <w:szCs w:val="20"/>
        </w:rPr>
        <w:t>财政信息系统</w:t>
      </w:r>
      <w:r>
        <w:rPr>
          <w:rFonts w:hint="eastAsia" w:ascii="楷体_GB2312" w:hAnsi="仿宋_GB2312" w:eastAsia="楷体_GB2312" w:cs="楷体_GB2312"/>
        </w:rPr>
        <w:t>方面存在的问题</w:t>
      </w:r>
    </w:p>
    <w:p>
      <w:pPr>
        <w:spacing w:line="600" w:lineRule="exact"/>
        <w:ind w:firstLine="640" w:firstLineChars="200"/>
        <w:rPr>
          <w:rFonts w:ascii="仿宋_GB2312"/>
        </w:rPr>
      </w:pPr>
      <w:r>
        <w:rPr>
          <w:rFonts w:hint="eastAsia" w:ascii="仿宋_GB2312"/>
        </w:rPr>
        <w:t>1.各业务系统不衔接的问题。下一步区财政部门将参照市财政局指标计划管理模式，修改完善财政一体化管理系统业务流程。</w:t>
      </w:r>
    </w:p>
    <w:p>
      <w:pPr>
        <w:spacing w:line="600" w:lineRule="exact"/>
        <w:ind w:firstLine="640" w:firstLineChars="200"/>
        <w:rPr>
          <w:rFonts w:ascii="仿宋_GB2312"/>
        </w:rPr>
      </w:pPr>
      <w:r>
        <w:rPr>
          <w:rFonts w:hint="eastAsia" w:ascii="仿宋_GB2312"/>
        </w:rPr>
        <w:t>2.项目库建设管理不到位的问题。区财政部门在编制2020年部门预算时，已经依托财政业务一体化管理系统，建立专项资金项目库，要求各部门、各街道（园区）将所有项目支出全部纳入项目库管理。</w:t>
      </w:r>
    </w:p>
    <w:p>
      <w:pPr>
        <w:spacing w:line="600" w:lineRule="exact"/>
        <w:ind w:firstLine="630"/>
        <w:rPr>
          <w:rFonts w:ascii="黑体" w:hAnsi="黑体" w:eastAsia="黑体" w:cs="黑体"/>
        </w:rPr>
      </w:pPr>
      <w:r>
        <w:rPr>
          <w:rFonts w:hint="eastAsia" w:ascii="黑体" w:hAnsi="黑体" w:eastAsia="黑体" w:cs="黑体"/>
        </w:rPr>
        <w:t>二、</w:t>
      </w:r>
      <w:r>
        <w:rPr>
          <w:rFonts w:hint="eastAsia" w:ascii="黑体" w:hAnsi="黑体" w:eastAsia="黑体"/>
        </w:rPr>
        <w:t>部门预算执行及预算绩效管理情况</w:t>
      </w:r>
      <w:r>
        <w:rPr>
          <w:rFonts w:hint="eastAsia" w:ascii="黑体" w:hAnsi="黑体" w:eastAsia="黑体" w:cs="黑体"/>
        </w:rPr>
        <w:t>审计查出问题的整改情况</w:t>
      </w:r>
    </w:p>
    <w:p>
      <w:pPr>
        <w:spacing w:line="600" w:lineRule="exact"/>
        <w:ind w:firstLine="640" w:firstLineChars="200"/>
        <w:rPr>
          <w:rFonts w:ascii="楷体_GB2312" w:hAnsi="仿宋_GB2312" w:eastAsia="楷体_GB2312"/>
        </w:rPr>
      </w:pPr>
      <w:r>
        <w:rPr>
          <w:rFonts w:hint="eastAsia" w:ascii="楷体_GB2312" w:hAnsi="仿宋_GB2312" w:eastAsia="楷体_GB2312"/>
        </w:rPr>
        <w:t>（一）中央八项规定及其实施细则精神贯彻落实方面</w:t>
      </w:r>
    </w:p>
    <w:p>
      <w:pPr>
        <w:spacing w:line="600" w:lineRule="exact"/>
        <w:ind w:firstLine="800" w:firstLineChars="250"/>
        <w:rPr>
          <w:rFonts w:ascii="仿宋_GB2312" w:hAnsi="仿宋_GB2312"/>
        </w:rPr>
      </w:pPr>
      <w:r>
        <w:rPr>
          <w:rFonts w:hint="eastAsia" w:ascii="仿宋_GB2312" w:hAnsi="仿宋_GB2312"/>
        </w:rPr>
        <w:t>1.11个预算单位超预算列支、10个预算单位无预算列支四项费用的问题。相关单位已进行整改，将进一步加强预算管理和控制，强化预算约束，同时建立完善公务支出、公务接待监管制度，从严控制公务支出，进一步压减不必要的行政开支。</w:t>
      </w:r>
    </w:p>
    <w:p>
      <w:pPr>
        <w:spacing w:line="600" w:lineRule="exact"/>
        <w:ind w:firstLine="800" w:firstLineChars="250"/>
        <w:rPr>
          <w:rFonts w:ascii="仿宋_GB2312" w:hAnsi="仿宋_GB2312"/>
        </w:rPr>
      </w:pPr>
      <w:r>
        <w:rPr>
          <w:rFonts w:hint="eastAsia" w:ascii="仿宋_GB2312" w:hAnsi="仿宋_GB2312"/>
        </w:rPr>
        <w:t>2.13个预算单位存在未使用公务卡结算差旅费的问题。相关部门已加强公务卡管理，为未办理公务卡的人员补办公务卡；并根据《烟台市莱山区机关事业单位差旅费管理办法》的相关规定，制定相应的差旅费报销管理制度并严格执行。</w:t>
      </w:r>
    </w:p>
    <w:p>
      <w:pPr>
        <w:spacing w:line="600" w:lineRule="exact"/>
        <w:ind w:firstLine="800" w:firstLineChars="250"/>
        <w:rPr>
          <w:rFonts w:ascii="仿宋_GB2312" w:hAnsi="仿宋_GB2312"/>
        </w:rPr>
      </w:pPr>
      <w:r>
        <w:rPr>
          <w:rFonts w:hint="eastAsia" w:ascii="仿宋_GB2312" w:hAnsi="仿宋_GB2312"/>
        </w:rPr>
        <w:t>3.13个预算单位违规使用代工户变相提现，报销日常公用经费支出的问题。相关部门单位进行了整改，严格执行《关于进一步加强区级财政支出预算执行管理有关事项的通知》的相关规定，加强财务管理和制度约束，实行责任到人管理制度，严格规范报销流程。</w:t>
      </w:r>
    </w:p>
    <w:p>
      <w:pPr>
        <w:spacing w:line="600" w:lineRule="exact"/>
        <w:ind w:firstLine="800" w:firstLineChars="250"/>
        <w:rPr>
          <w:rFonts w:ascii="仿宋_GB2312" w:hAnsi="仿宋_GB2312"/>
        </w:rPr>
      </w:pPr>
      <w:r>
        <w:rPr>
          <w:rFonts w:hint="eastAsia" w:ascii="仿宋_GB2312" w:hAnsi="仿宋_GB2312"/>
        </w:rPr>
        <w:t>4.7个预算单位报销公务接待费未实行一次一结算的问题。相关部门将严格公务接待日常管理，强化接待费结算管控，实现“一次一结”。</w:t>
      </w:r>
    </w:p>
    <w:p>
      <w:pPr>
        <w:spacing w:line="600" w:lineRule="exact"/>
        <w:ind w:firstLine="800" w:firstLineChars="250"/>
        <w:rPr>
          <w:rFonts w:ascii="仿宋_GB2312" w:hAnsi="仿宋_GB2312"/>
        </w:rPr>
      </w:pPr>
      <w:r>
        <w:rPr>
          <w:rFonts w:hint="eastAsia" w:ascii="仿宋_GB2312" w:hAnsi="仿宋_GB2312"/>
        </w:rPr>
        <w:t>5.“五项”费用在其他费用中列支的问题。相关部门已组织财务人员加强业务学习，严格执行财务制度，规范费用归集，严格按照规定会计科目列支。</w:t>
      </w:r>
    </w:p>
    <w:p>
      <w:pPr>
        <w:spacing w:line="600" w:lineRule="exact"/>
        <w:ind w:firstLine="640" w:firstLineChars="200"/>
        <w:rPr>
          <w:rFonts w:ascii="楷体_GB2312" w:hAnsi="仿宋_GB2312" w:eastAsia="楷体_GB2312"/>
        </w:rPr>
      </w:pPr>
      <w:r>
        <w:rPr>
          <w:rFonts w:hint="eastAsia" w:ascii="楷体_GB2312" w:hAnsi="仿宋_GB2312" w:eastAsia="楷体_GB2312"/>
        </w:rPr>
        <w:t>（二）部门预决算编制和执行方面</w:t>
      </w:r>
    </w:p>
    <w:p>
      <w:pPr>
        <w:spacing w:line="600" w:lineRule="exact"/>
        <w:ind w:firstLine="640" w:firstLineChars="200"/>
        <w:rPr>
          <w:rFonts w:ascii="仿宋_GB2312" w:hAnsi="仿宋_GB2312"/>
        </w:rPr>
      </w:pPr>
      <w:r>
        <w:rPr>
          <w:rFonts w:hint="eastAsia" w:ascii="仿宋_GB2312" w:hAnsi="仿宋_GB2312"/>
        </w:rPr>
        <w:t>1.个别预算单位非税收入未上缴国库74.17万元，决算编报不实的问题。相关部门已按照要求将非税收入上缴国库。</w:t>
      </w:r>
    </w:p>
    <w:p>
      <w:pPr>
        <w:spacing w:line="600" w:lineRule="exact"/>
        <w:ind w:firstLine="640" w:firstLineChars="200"/>
        <w:rPr>
          <w:rFonts w:ascii="仿宋_GB2312" w:hAnsi="仿宋_GB2312"/>
        </w:rPr>
      </w:pPr>
      <w:r>
        <w:rPr>
          <w:rFonts w:hint="eastAsia" w:ascii="仿宋_GB2312" w:hAnsi="仿宋_GB2312"/>
        </w:rPr>
        <w:t>2.个别预算单位应征未征非税收入0.3万元的问题。相关部门已于审计期间将应征非税收入补征到位。</w:t>
      </w:r>
    </w:p>
    <w:p>
      <w:pPr>
        <w:spacing w:line="600" w:lineRule="exact"/>
        <w:ind w:firstLine="640" w:firstLineChars="200"/>
        <w:rPr>
          <w:rFonts w:ascii="仿宋_GB2312" w:hAnsi="仿宋_GB2312"/>
        </w:rPr>
      </w:pPr>
      <w:r>
        <w:rPr>
          <w:rFonts w:hint="eastAsia" w:ascii="仿宋_GB2312" w:hAnsi="仿宋_GB2312"/>
        </w:rPr>
        <w:t>3.个别预算单位应执行未执行采购预算的问题。相关部门进一步加强预算管理，与财政部门及时对接，沟通采购细节，严谨制定政府采购预算并严格执行。</w:t>
      </w:r>
    </w:p>
    <w:p>
      <w:pPr>
        <w:spacing w:line="600" w:lineRule="exact"/>
        <w:ind w:firstLine="640" w:firstLineChars="200"/>
        <w:rPr>
          <w:rFonts w:ascii="仿宋_GB2312" w:hAnsi="仿宋_GB2312"/>
        </w:rPr>
      </w:pPr>
      <w:r>
        <w:rPr>
          <w:rFonts w:hint="eastAsia" w:ascii="仿宋_GB2312" w:hAnsi="仿宋_GB2312"/>
        </w:rPr>
        <w:t>4.个别预算单位采购项目缺乏科学的调研论证,年中执行时对年初已编制了预算的政府采购项目停止采购的问题。相关部门已根据《山东省政府采购管理办法》要求，向区财政部门报送书面说明并申请调减指标。在今后预算编制中将加强对项目的科学调研论证，对新增项目进行事前项目评估，合理运用预算资金。</w:t>
      </w:r>
    </w:p>
    <w:p>
      <w:pPr>
        <w:spacing w:line="600" w:lineRule="exact"/>
        <w:ind w:firstLine="640" w:firstLineChars="200"/>
        <w:rPr>
          <w:rFonts w:ascii="楷体_GB2312" w:hAnsi="仿宋_GB2312" w:eastAsia="楷体_GB2312"/>
        </w:rPr>
      </w:pPr>
      <w:r>
        <w:rPr>
          <w:rFonts w:hint="eastAsia" w:ascii="楷体_GB2312" w:hAnsi="仿宋_GB2312" w:eastAsia="楷体_GB2312"/>
        </w:rPr>
        <w:t>（三）存量资金管理方面</w:t>
      </w:r>
    </w:p>
    <w:p>
      <w:pPr>
        <w:spacing w:line="600" w:lineRule="exact"/>
        <w:ind w:firstLine="640" w:firstLineChars="200"/>
        <w:rPr>
          <w:rFonts w:ascii="仿宋_GB2312" w:hAnsi="仿宋_GB2312"/>
        </w:rPr>
      </w:pPr>
      <w:r>
        <w:rPr>
          <w:rFonts w:hint="eastAsia" w:ascii="仿宋_GB2312" w:hAnsi="仿宋_GB2312"/>
        </w:rPr>
        <w:t xml:space="preserve">1.存量资产未盘活使用的问题。相关单位将着手进行孵化器产业调整，引导优质企业入驻，及时盘活存量资产，促进资产有效使用，实现保值增值。                                                                                      </w:t>
      </w:r>
    </w:p>
    <w:p>
      <w:pPr>
        <w:spacing w:line="600" w:lineRule="exact"/>
        <w:ind w:firstLine="640" w:firstLineChars="200"/>
        <w:rPr>
          <w:rFonts w:ascii="仿宋_GB2312" w:hAnsi="仿宋_GB2312"/>
        </w:rPr>
      </w:pPr>
      <w:r>
        <w:rPr>
          <w:rFonts w:hint="eastAsia" w:ascii="仿宋_GB2312" w:hAnsi="仿宋_GB2312"/>
        </w:rPr>
        <w:t>2.沉淀资金统筹消化不到位的问题。相关单位已将相关沉淀资金退回财政统筹安排。</w:t>
      </w:r>
    </w:p>
    <w:p>
      <w:pPr>
        <w:spacing w:line="600" w:lineRule="exact"/>
        <w:ind w:firstLine="640" w:firstLineChars="200"/>
        <w:rPr>
          <w:rFonts w:ascii="楷体_GB2312" w:hAnsi="仿宋_GB2312" w:eastAsia="楷体_GB2312"/>
        </w:rPr>
      </w:pPr>
      <w:r>
        <w:rPr>
          <w:rFonts w:hint="eastAsia" w:ascii="楷体_GB2312" w:hAnsi="仿宋_GB2312" w:eastAsia="楷体_GB2312"/>
        </w:rPr>
        <w:t>（四）专项资金及绩效管理方面</w:t>
      </w:r>
    </w:p>
    <w:p>
      <w:pPr>
        <w:spacing w:line="600" w:lineRule="exact"/>
        <w:ind w:firstLine="636" w:firstLineChars="199"/>
        <w:rPr>
          <w:rFonts w:ascii="仿宋_GB2312" w:hAnsi="仿宋_GB2312"/>
        </w:rPr>
      </w:pPr>
      <w:r>
        <w:rPr>
          <w:rFonts w:hint="eastAsia" w:ascii="仿宋_GB2312" w:hAnsi="仿宋_GB2312"/>
        </w:rPr>
        <w:t>1.</w:t>
      </w:r>
      <w:r>
        <w:rPr>
          <w:rFonts w:ascii="仿宋_GB2312" w:hAnsi="仿宋_GB2312"/>
        </w:rPr>
        <w:t>养老服务信息平台监管不到位，运行效果未达到预期</w:t>
      </w:r>
      <w:r>
        <w:rPr>
          <w:rFonts w:hint="eastAsia" w:ascii="仿宋_GB2312" w:hAnsi="仿宋_GB2312"/>
        </w:rPr>
        <w:t>的问题。相关单位已进行整改，出台《关于印发&lt;烟台市莱山区网络信息服务费和政府购买服务考核办法&gt;的通知》（烟莱民[2020]45号），并建立急事即报和信息沟通反馈机制；坚持抽查、加强宣传力度，确保运行效果落到实处。</w:t>
      </w:r>
    </w:p>
    <w:p>
      <w:pPr>
        <w:spacing w:line="600" w:lineRule="exact"/>
        <w:ind w:firstLine="636" w:firstLineChars="199"/>
        <w:rPr>
          <w:rFonts w:ascii="仿宋_GB2312" w:hAnsi="仿宋_GB2312"/>
        </w:rPr>
      </w:pPr>
      <w:r>
        <w:rPr>
          <w:rFonts w:hint="eastAsia" w:ascii="仿宋_GB2312" w:hAnsi="仿宋_GB2312"/>
        </w:rPr>
        <w:t xml:space="preserve">2.个别项目资金使用效率不高的问题。相关责任单位进一步加强完善预算编制与存量资金使用管理机制，细化预算编制，合理制定分年度资金安排计划，减少跨年度结转，制定工作计划，分解细化目标，强化宣传引导，及时兑现各类补贴，提高专项资金利用率。 </w:t>
      </w:r>
    </w:p>
    <w:p>
      <w:pPr>
        <w:spacing w:line="600" w:lineRule="exact"/>
        <w:ind w:firstLine="640" w:firstLineChars="200"/>
        <w:rPr>
          <w:rFonts w:ascii="楷体_GB2312" w:hAnsi="仿宋_GB2312" w:eastAsia="楷体_GB2312"/>
        </w:rPr>
      </w:pPr>
      <w:r>
        <w:rPr>
          <w:rFonts w:hint="eastAsia" w:ascii="楷体_GB2312" w:hAnsi="仿宋_GB2312" w:eastAsia="楷体_GB2312"/>
        </w:rPr>
        <w:t>（五）资产及信息系统管理方面</w:t>
      </w:r>
    </w:p>
    <w:p>
      <w:pPr>
        <w:spacing w:line="600" w:lineRule="exact"/>
        <w:ind w:firstLine="640" w:firstLineChars="200"/>
        <w:rPr>
          <w:rFonts w:ascii="仿宋_GB2312" w:hAnsi="仿宋_GB2312"/>
        </w:rPr>
      </w:pPr>
      <w:r>
        <w:rPr>
          <w:rFonts w:hint="eastAsia" w:ascii="仿宋_GB2312" w:hAnsi="仿宋_GB2312"/>
        </w:rPr>
        <w:t>1.国有资产账务处理及资产系统更新不及时的问题。相关单位已完成车改手续，账套、固定资产账簿和资产系统已更新完毕，将进一步加强资产管理，确保账实相符、资产保值增值。</w:t>
      </w:r>
    </w:p>
    <w:p>
      <w:pPr>
        <w:spacing w:line="600" w:lineRule="exact"/>
        <w:ind w:firstLine="640" w:firstLineChars="200"/>
        <w:rPr>
          <w:rFonts w:ascii="仿宋_GB2312" w:hAnsi="仿宋_GB2312"/>
        </w:rPr>
      </w:pPr>
      <w:r>
        <w:rPr>
          <w:rFonts w:hint="eastAsia" w:ascii="仿宋_GB2312" w:hAnsi="仿宋_GB2312"/>
        </w:rPr>
        <w:t>2.非税收入征收信息录入不规范、不完整的问题。相关单位已加强整改，开展学习培训，并更换问题票据。</w:t>
      </w:r>
    </w:p>
    <w:p>
      <w:pPr>
        <w:spacing w:line="600" w:lineRule="exact"/>
        <w:ind w:firstLine="640" w:firstLineChars="200"/>
        <w:rPr>
          <w:rFonts w:ascii="仿宋_GB2312" w:hAnsi="仿宋_GB2312"/>
        </w:rPr>
      </w:pPr>
      <w:r>
        <w:rPr>
          <w:rFonts w:hint="eastAsia" w:ascii="仿宋_GB2312" w:hAnsi="仿宋_GB2312"/>
        </w:rPr>
        <w:t>3.个别预算单位缺少必要的冗灾备份，未按要求推进信息安全等级保护工作的问题。相关单位已进行整改，完成了网络中心安全设备采购。</w:t>
      </w:r>
    </w:p>
    <w:p>
      <w:pPr>
        <w:spacing w:line="600" w:lineRule="exact"/>
        <w:ind w:firstLine="640" w:firstLineChars="200"/>
        <w:rPr>
          <w:rFonts w:ascii="黑体" w:hAnsi="黑体" w:eastAsia="黑体"/>
        </w:rPr>
      </w:pPr>
      <w:r>
        <w:rPr>
          <w:rFonts w:hint="eastAsia" w:ascii="黑体" w:hAnsi="黑体" w:eastAsia="黑体" w:cs="黑体"/>
        </w:rPr>
        <w:t>三、稳增长促改革调结构惠民生防风险政策措施落实跟踪审计及专项审计查出问题的整改情况</w:t>
      </w:r>
    </w:p>
    <w:p>
      <w:pPr>
        <w:spacing w:line="600" w:lineRule="exact"/>
        <w:ind w:firstLine="640" w:firstLineChars="200"/>
        <w:rPr>
          <w:rFonts w:ascii="楷体_GB2312" w:hAnsi="仿宋_GB2312" w:eastAsia="楷体_GB2312"/>
        </w:rPr>
      </w:pPr>
      <w:r>
        <w:rPr>
          <w:rFonts w:hint="eastAsia" w:ascii="楷体_GB2312" w:hAnsi="仿宋_GB2312" w:eastAsia="楷体_GB2312" w:cs="楷体_GB2312"/>
        </w:rPr>
        <w:t>（一）精准扶贫政策落实审计</w:t>
      </w:r>
    </w:p>
    <w:p>
      <w:pPr>
        <w:spacing w:line="560" w:lineRule="exact"/>
        <w:ind w:firstLine="640" w:firstLineChars="200"/>
        <w:rPr>
          <w:rFonts w:ascii="仿宋_GB2312"/>
        </w:rPr>
      </w:pPr>
      <w:r>
        <w:rPr>
          <w:rFonts w:hint="eastAsia" w:ascii="仿宋_GB2312" w:hAnsi="仿宋_GB2312" w:cs="仿宋_GB2312"/>
        </w:rPr>
        <w:t>饮水安全政策措施落实不到位的问题。相关单位已进行整改，通过</w:t>
      </w:r>
      <w:r>
        <w:rPr>
          <w:rFonts w:hint="eastAsia" w:ascii="仿宋_GB2312"/>
        </w:rPr>
        <w:t>利用抗旱应急资金安排新打机井并全部投入使用，来保障群众用水需求；通过争取资金为水质存在问题的村庄安装净水设备31台。下一步将联合街道对群众用水进行动态监控，必要时启动预案，采取抗旱应急、及时帮扶等手段，切实保障群众用水安全。</w:t>
      </w:r>
    </w:p>
    <w:p>
      <w:pPr>
        <w:spacing w:line="600" w:lineRule="exact"/>
        <w:ind w:firstLine="640" w:firstLineChars="200"/>
        <w:rPr>
          <w:rFonts w:ascii="楷体_GB2312" w:hAnsi="仿宋_GB2312" w:eastAsia="楷体_GB2312" w:cs="仿宋_GB2312"/>
        </w:rPr>
      </w:pPr>
      <w:r>
        <w:rPr>
          <w:rFonts w:hint="eastAsia" w:ascii="楷体_GB2312" w:hAnsi="仿宋_GB2312" w:eastAsia="楷体_GB2312" w:cs="仿宋_GB2312"/>
        </w:rPr>
        <w:t>（二）应对新冠肺炎疫情防控资金和捐赠款物专项审计</w:t>
      </w:r>
    </w:p>
    <w:p>
      <w:pPr>
        <w:spacing w:line="600" w:lineRule="exact"/>
        <w:ind w:firstLine="640" w:firstLineChars="200"/>
        <w:rPr>
          <w:rFonts w:ascii="仿宋_GB2312" w:hAnsi="仿宋_GB2312" w:cs="仿宋_GB2312"/>
          <w:color w:val="000000"/>
        </w:rPr>
      </w:pPr>
      <w:r>
        <w:rPr>
          <w:rFonts w:hint="eastAsia" w:ascii="仿宋_GB2312" w:hAnsi="仿宋_GB2312" w:cs="仿宋_GB2312"/>
          <w:color w:val="000000"/>
        </w:rPr>
        <w:t>对审计发现一线医务人员补贴未及时发放的问题，有关部门高度重视，即知即改，审计期间已发放到位。</w:t>
      </w:r>
    </w:p>
    <w:p>
      <w:pPr>
        <w:adjustRightInd w:val="0"/>
        <w:snapToGrid w:val="0"/>
        <w:spacing w:line="600" w:lineRule="exact"/>
        <w:ind w:firstLine="640" w:firstLineChars="200"/>
        <w:rPr>
          <w:rFonts w:ascii="楷体_GB2312" w:hAnsi="仿宋_GB2312" w:eastAsia="楷体_GB2312" w:cs="仿宋_GB2312"/>
        </w:rPr>
      </w:pPr>
      <w:r>
        <w:rPr>
          <w:rFonts w:hint="eastAsia" w:ascii="楷体_GB2312" w:hAnsi="仿宋_GB2312" w:eastAsia="楷体_GB2312" w:cs="仿宋_GB2312"/>
        </w:rPr>
        <w:t>（三）推进“一次办好”和减税降费政策措施落实促进优化营商环境情况的跟踪审计</w:t>
      </w:r>
    </w:p>
    <w:p>
      <w:pPr>
        <w:adjustRightInd w:val="0"/>
        <w:snapToGrid w:val="0"/>
        <w:spacing w:line="620" w:lineRule="exact"/>
        <w:ind w:firstLine="616" w:firstLineChars="200"/>
        <w:rPr>
          <w:rFonts w:ascii="仿宋_GB2312" w:hAnsi="仿宋_GB2312" w:cs="仿宋_GB2312"/>
          <w:snapToGrid w:val="0"/>
          <w:spacing w:val="-6"/>
          <w:kern w:val="0"/>
        </w:rPr>
      </w:pPr>
      <w:r>
        <w:rPr>
          <w:rFonts w:hint="eastAsia" w:ascii="仿宋_GB2312" w:hAnsi="仿宋_GB2312" w:cs="仿宋_GB2312"/>
          <w:snapToGrid w:val="0"/>
          <w:spacing w:val="-6"/>
          <w:kern w:val="0"/>
        </w:rPr>
        <w:t>1.政务系统整合不到位，仍存在“二次录入”的情况的问题。相关部门深入分析问题，将根据市政管办、市大数据局部署安排对部门自建系统评估论证。经论证无需保留的系统的服务事项全部纳入政务服务平台网上运行；确需保留的系统，按照“谁建设、谁负责”的原则，由建设单位按照《烟台市政务服务“一窗受理”“一网通办”技术规范》的要求开展对接工作。</w:t>
      </w:r>
    </w:p>
    <w:p>
      <w:pPr>
        <w:spacing w:line="560" w:lineRule="exact"/>
        <w:ind w:firstLine="616" w:firstLineChars="200"/>
        <w:rPr>
          <w:rFonts w:ascii="仿宋_GB2312"/>
        </w:rPr>
      </w:pPr>
      <w:r>
        <w:rPr>
          <w:rFonts w:hint="eastAsia" w:ascii="仿宋_GB2312" w:hAnsi="仿宋_GB2312" w:cs="仿宋_GB2312"/>
          <w:snapToGrid w:val="0"/>
          <w:spacing w:val="-6"/>
          <w:kern w:val="0"/>
        </w:rPr>
        <w:t>2.应减免未减免企业不动产登记费4.55万元的问题。相关部门</w:t>
      </w:r>
      <w:r>
        <w:rPr>
          <w:rFonts w:hint="eastAsia" w:ascii="仿宋_GB2312"/>
        </w:rPr>
        <w:t>已于7月28日将</w:t>
      </w:r>
      <w:r>
        <w:rPr>
          <w:rFonts w:hint="eastAsia" w:ascii="仿宋_GB2312" w:hAnsi="仿宋_GB2312" w:cs="仿宋_GB2312"/>
          <w:snapToGrid w:val="0"/>
          <w:spacing w:val="-6"/>
          <w:kern w:val="0"/>
        </w:rPr>
        <w:t>应减免未减免企业不动产登记费</w:t>
      </w:r>
      <w:r>
        <w:rPr>
          <w:rFonts w:hint="eastAsia" w:ascii="仿宋_GB2312"/>
        </w:rPr>
        <w:t>退还企业，下一步，将</w:t>
      </w:r>
      <w:r>
        <w:rPr>
          <w:rFonts w:ascii="仿宋_GB2312"/>
        </w:rPr>
        <w:t>对小微企业办理不动产登记业务登记费减免实施告知承诺制</w:t>
      </w:r>
      <w:r>
        <w:rPr>
          <w:rFonts w:hint="eastAsia" w:ascii="仿宋_GB2312"/>
        </w:rPr>
        <w:t>，</w:t>
      </w:r>
      <w:r>
        <w:rPr>
          <w:rFonts w:ascii="仿宋_GB2312"/>
        </w:rPr>
        <w:t>并按</w:t>
      </w:r>
      <w:r>
        <w:rPr>
          <w:rFonts w:hint="eastAsia" w:ascii="仿宋_GB2312"/>
        </w:rPr>
        <w:t>文件要求，在登记大厅及网站公开《统计上大中小微企业划分办法（2017）》及《金融业企业划行标准规定》文件及材料清单，通过在多种渠道宣传公示小微企业登记费减免政策；在登记窗口、收费窗口开展企业登记收费提醒服务，做到应免尽免，切实做好减免政策落实工作。</w:t>
      </w:r>
    </w:p>
    <w:p>
      <w:pPr>
        <w:spacing w:line="600" w:lineRule="exact"/>
        <w:ind w:firstLine="640" w:firstLineChars="200"/>
        <w:rPr>
          <w:rFonts w:ascii="楷体_GB2312" w:hAnsi="仿宋_GB2312" w:eastAsia="楷体_GB2312" w:cs="仿宋_GB2312"/>
        </w:rPr>
      </w:pPr>
      <w:r>
        <w:rPr>
          <w:rFonts w:hint="eastAsia" w:ascii="楷体_GB2312" w:hAnsi="仿宋_GB2312" w:eastAsia="楷体_GB2312" w:cs="仿宋_GB2312"/>
        </w:rPr>
        <w:t>（四）人民防空办公室易地建设费征收管理等情况专项审计</w:t>
      </w:r>
    </w:p>
    <w:p>
      <w:pPr>
        <w:spacing w:line="600" w:lineRule="exact"/>
        <w:ind w:firstLine="640" w:firstLineChars="200"/>
        <w:rPr>
          <w:rFonts w:ascii="仿宋_GB2312" w:hAnsi="仿宋_GB2312" w:cs="仿宋_GB2312"/>
        </w:rPr>
      </w:pPr>
      <w:r>
        <w:rPr>
          <w:rFonts w:hint="eastAsia" w:ascii="仿宋_GB2312" w:hAnsi="仿宋_GB2312" w:cs="仿宋_GB2312"/>
        </w:rPr>
        <w:t>工业园区内防空地下室易地建设费征收管理工作不到位，缺少审批资料的问题。相关单位将严格落实《关于规范防空地下室易地建设审批调减的意见》（鲁防办字[2019]4号），完善相关审批资料。</w:t>
      </w:r>
    </w:p>
    <w:p>
      <w:pPr>
        <w:spacing w:line="600" w:lineRule="exact"/>
        <w:ind w:firstLine="640" w:firstLineChars="200"/>
        <w:rPr>
          <w:rFonts w:ascii="黑体" w:hAnsi="黑体" w:eastAsia="黑体"/>
        </w:rPr>
      </w:pPr>
      <w:r>
        <w:rPr>
          <w:rFonts w:hint="eastAsia" w:ascii="黑体" w:hAnsi="黑体" w:eastAsia="黑体" w:cs="黑体"/>
        </w:rPr>
        <w:t>四、领导干部经济责任审计的整改情况</w:t>
      </w:r>
    </w:p>
    <w:p>
      <w:pPr>
        <w:spacing w:line="600" w:lineRule="exact"/>
        <w:ind w:firstLine="640" w:firstLineChars="200"/>
        <w:rPr>
          <w:rFonts w:ascii="仿宋_GB2312" w:hAnsi="黑体" w:cs="仿宋_GB2312"/>
        </w:rPr>
      </w:pPr>
      <w:r>
        <w:rPr>
          <w:rFonts w:hint="eastAsia" w:ascii="仿宋_GB2312"/>
        </w:rPr>
        <w:t>2019年7月至2020年7月对10名领导干部经济责任履行情况进行了审计，共查出损失浪费问题金额84.43万元，管理不规范问题金额6790.13万元。</w:t>
      </w:r>
      <w:r>
        <w:rPr>
          <w:rFonts w:hint="eastAsia" w:ascii="仿宋_GB2312" w:hAnsi="黑体" w:cs="仿宋_GB2312"/>
        </w:rPr>
        <w:t>相关部门单位对审计整改工作普遍重视，制定了整改实施方案。截至</w:t>
      </w:r>
      <w:r>
        <w:rPr>
          <w:rFonts w:ascii="仿宋_GB2312" w:hAnsi="黑体" w:cs="仿宋_GB2312"/>
        </w:rPr>
        <w:t>11</w:t>
      </w:r>
      <w:r>
        <w:rPr>
          <w:rFonts w:hint="eastAsia" w:ascii="仿宋_GB2312" w:hAnsi="黑体" w:cs="仿宋_GB2312"/>
        </w:rPr>
        <w:t>月底，领导干部经济责任审计的47个具体问题，已全部整改到位。有关部门、单位采纳审计建议40条，制定完善规章制度10余项。</w:t>
      </w:r>
    </w:p>
    <w:p>
      <w:pPr>
        <w:spacing w:line="600" w:lineRule="exact"/>
        <w:ind w:firstLine="640" w:firstLineChars="200"/>
        <w:rPr>
          <w:rFonts w:ascii="仿宋_GB2312" w:hAnsi="黑体" w:cs="仿宋_GB2312"/>
        </w:rPr>
      </w:pPr>
    </w:p>
    <w:sectPr>
      <w:footerReference r:id="rId3" w:type="default"/>
      <w:pgSz w:w="11906" w:h="16838"/>
      <w:pgMar w:top="2098" w:right="1531" w:bottom="1985" w:left="1531" w:header="851" w:footer="992" w:gutter="0"/>
      <w:pgNumType w:fmt="numberInDash"/>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_GB2312" w:hAnsi="宋体"/>
        <w:sz w:val="28"/>
        <w:szCs w:val="28"/>
      </w:rPr>
    </w:pPr>
    <w:r>
      <w:rPr>
        <w:rFonts w:ascii="仿宋_GB2312" w:hAnsi="宋体" w:cs="仿宋_GB2312"/>
        <w:sz w:val="28"/>
        <w:szCs w:val="28"/>
      </w:rPr>
      <w:fldChar w:fldCharType="begin"/>
    </w:r>
    <w:r>
      <w:rPr>
        <w:rFonts w:ascii="仿宋_GB2312" w:hAnsi="宋体" w:cs="仿宋_GB2312"/>
        <w:sz w:val="28"/>
        <w:szCs w:val="28"/>
      </w:rPr>
      <w:instrText xml:space="preserve"> PAGE   \* MERGEFORMAT </w:instrText>
    </w:r>
    <w:r>
      <w:rPr>
        <w:rFonts w:ascii="仿宋_GB2312" w:hAnsi="宋体" w:cs="仿宋_GB2312"/>
        <w:sz w:val="28"/>
        <w:szCs w:val="28"/>
      </w:rPr>
      <w:fldChar w:fldCharType="separate"/>
    </w:r>
    <w:r>
      <w:rPr>
        <w:rFonts w:ascii="仿宋_GB2312" w:hAnsi="宋体" w:cs="仿宋_GB2312"/>
        <w:sz w:val="28"/>
        <w:szCs w:val="28"/>
        <w:lang w:val="zh-CN"/>
      </w:rPr>
      <w:t>-</w:t>
    </w:r>
    <w:r>
      <w:rPr>
        <w:rFonts w:ascii="仿宋_GB2312" w:hAnsi="宋体" w:cs="仿宋_GB2312"/>
        <w:sz w:val="28"/>
        <w:szCs w:val="28"/>
      </w:rPr>
      <w:t xml:space="preserve"> 7 -</w:t>
    </w:r>
    <w:r>
      <w:rPr>
        <w:rFonts w:ascii="仿宋_GB2312" w:hAnsi="宋体" w:cs="仿宋_GB2312"/>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NotTrackMoves/>
  <w:documentProtection w:enforcement="0"/>
  <w:defaultTabStop w:val="420"/>
  <w:doNotHyphenateCaps/>
  <w:drawingGridHorizontalSpacing w:val="160"/>
  <w:drawingGridVerticalSpacing w:val="579"/>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208B"/>
    <w:rsid w:val="000027D6"/>
    <w:rsid w:val="00007D8D"/>
    <w:rsid w:val="00014972"/>
    <w:rsid w:val="0002122C"/>
    <w:rsid w:val="000311A4"/>
    <w:rsid w:val="00077E77"/>
    <w:rsid w:val="00080D02"/>
    <w:rsid w:val="00082CB3"/>
    <w:rsid w:val="000C37A3"/>
    <w:rsid w:val="000E6D43"/>
    <w:rsid w:val="000F6758"/>
    <w:rsid w:val="00106584"/>
    <w:rsid w:val="001166BE"/>
    <w:rsid w:val="0012208B"/>
    <w:rsid w:val="00123DA1"/>
    <w:rsid w:val="00132483"/>
    <w:rsid w:val="001370C0"/>
    <w:rsid w:val="001502F3"/>
    <w:rsid w:val="00156205"/>
    <w:rsid w:val="001654A1"/>
    <w:rsid w:val="00166590"/>
    <w:rsid w:val="001A2EA0"/>
    <w:rsid w:val="001A7314"/>
    <w:rsid w:val="001D595F"/>
    <w:rsid w:val="001E5829"/>
    <w:rsid w:val="001F5114"/>
    <w:rsid w:val="001F645B"/>
    <w:rsid w:val="00266C6E"/>
    <w:rsid w:val="002830EB"/>
    <w:rsid w:val="00296FF7"/>
    <w:rsid w:val="002B664B"/>
    <w:rsid w:val="002C7140"/>
    <w:rsid w:val="002D787A"/>
    <w:rsid w:val="002F3E93"/>
    <w:rsid w:val="00301970"/>
    <w:rsid w:val="00306F69"/>
    <w:rsid w:val="00314653"/>
    <w:rsid w:val="00321B44"/>
    <w:rsid w:val="00325D65"/>
    <w:rsid w:val="003372CA"/>
    <w:rsid w:val="00341F27"/>
    <w:rsid w:val="00357007"/>
    <w:rsid w:val="00381838"/>
    <w:rsid w:val="00397B41"/>
    <w:rsid w:val="003A2D81"/>
    <w:rsid w:val="003D4071"/>
    <w:rsid w:val="003F4276"/>
    <w:rsid w:val="00404B41"/>
    <w:rsid w:val="00415574"/>
    <w:rsid w:val="00422CD9"/>
    <w:rsid w:val="0043711C"/>
    <w:rsid w:val="004428A8"/>
    <w:rsid w:val="004538CE"/>
    <w:rsid w:val="004708FD"/>
    <w:rsid w:val="004716DF"/>
    <w:rsid w:val="00480811"/>
    <w:rsid w:val="004826F3"/>
    <w:rsid w:val="00492883"/>
    <w:rsid w:val="00496D85"/>
    <w:rsid w:val="004B24B7"/>
    <w:rsid w:val="004C6A05"/>
    <w:rsid w:val="004E567D"/>
    <w:rsid w:val="005005CB"/>
    <w:rsid w:val="005348F8"/>
    <w:rsid w:val="00572785"/>
    <w:rsid w:val="005852C0"/>
    <w:rsid w:val="00590288"/>
    <w:rsid w:val="005A402B"/>
    <w:rsid w:val="005B2164"/>
    <w:rsid w:val="005D3CCE"/>
    <w:rsid w:val="005E539B"/>
    <w:rsid w:val="00610CE7"/>
    <w:rsid w:val="00616E0E"/>
    <w:rsid w:val="00632E47"/>
    <w:rsid w:val="00636CD3"/>
    <w:rsid w:val="00670648"/>
    <w:rsid w:val="0067464C"/>
    <w:rsid w:val="00684DC8"/>
    <w:rsid w:val="00697CD1"/>
    <w:rsid w:val="006D20B0"/>
    <w:rsid w:val="006F05FA"/>
    <w:rsid w:val="006F0B69"/>
    <w:rsid w:val="007017D0"/>
    <w:rsid w:val="00702869"/>
    <w:rsid w:val="0073533D"/>
    <w:rsid w:val="00756CDE"/>
    <w:rsid w:val="00762EFB"/>
    <w:rsid w:val="00797B2D"/>
    <w:rsid w:val="007A2EE5"/>
    <w:rsid w:val="007D0F40"/>
    <w:rsid w:val="007E2AFD"/>
    <w:rsid w:val="007E4001"/>
    <w:rsid w:val="007E5BCA"/>
    <w:rsid w:val="007F4683"/>
    <w:rsid w:val="008018E1"/>
    <w:rsid w:val="00801BCB"/>
    <w:rsid w:val="0080536B"/>
    <w:rsid w:val="00805B7B"/>
    <w:rsid w:val="00812B20"/>
    <w:rsid w:val="00833330"/>
    <w:rsid w:val="008401C8"/>
    <w:rsid w:val="0084361E"/>
    <w:rsid w:val="008551A4"/>
    <w:rsid w:val="008601E6"/>
    <w:rsid w:val="00862D16"/>
    <w:rsid w:val="00885B3B"/>
    <w:rsid w:val="00892343"/>
    <w:rsid w:val="008951A0"/>
    <w:rsid w:val="00895ACE"/>
    <w:rsid w:val="00897E5A"/>
    <w:rsid w:val="008A33EC"/>
    <w:rsid w:val="008A3686"/>
    <w:rsid w:val="008C19E1"/>
    <w:rsid w:val="008C394A"/>
    <w:rsid w:val="008D0694"/>
    <w:rsid w:val="008F38C0"/>
    <w:rsid w:val="008F62E3"/>
    <w:rsid w:val="00902B81"/>
    <w:rsid w:val="009234A6"/>
    <w:rsid w:val="0093265B"/>
    <w:rsid w:val="0094046B"/>
    <w:rsid w:val="00942B67"/>
    <w:rsid w:val="00961AF8"/>
    <w:rsid w:val="009740FC"/>
    <w:rsid w:val="009760C9"/>
    <w:rsid w:val="00984458"/>
    <w:rsid w:val="00993006"/>
    <w:rsid w:val="009A6E18"/>
    <w:rsid w:val="009B00D4"/>
    <w:rsid w:val="009C2248"/>
    <w:rsid w:val="009D29C2"/>
    <w:rsid w:val="009E6960"/>
    <w:rsid w:val="009F58DE"/>
    <w:rsid w:val="00A40C2E"/>
    <w:rsid w:val="00A50622"/>
    <w:rsid w:val="00A56F66"/>
    <w:rsid w:val="00A603D0"/>
    <w:rsid w:val="00A62F0C"/>
    <w:rsid w:val="00A81798"/>
    <w:rsid w:val="00AB57D5"/>
    <w:rsid w:val="00AC6EFF"/>
    <w:rsid w:val="00AD5BED"/>
    <w:rsid w:val="00AE49F2"/>
    <w:rsid w:val="00AF5DED"/>
    <w:rsid w:val="00B355F4"/>
    <w:rsid w:val="00B4480A"/>
    <w:rsid w:val="00B475E4"/>
    <w:rsid w:val="00B824D6"/>
    <w:rsid w:val="00B8364D"/>
    <w:rsid w:val="00B92EAD"/>
    <w:rsid w:val="00B96AC2"/>
    <w:rsid w:val="00BB33E3"/>
    <w:rsid w:val="00BD132D"/>
    <w:rsid w:val="00BD2FA9"/>
    <w:rsid w:val="00BF4383"/>
    <w:rsid w:val="00C05744"/>
    <w:rsid w:val="00C21047"/>
    <w:rsid w:val="00C5191D"/>
    <w:rsid w:val="00C63E36"/>
    <w:rsid w:val="00CB67DA"/>
    <w:rsid w:val="00CB7E57"/>
    <w:rsid w:val="00CE2120"/>
    <w:rsid w:val="00CE4A6B"/>
    <w:rsid w:val="00CF40F7"/>
    <w:rsid w:val="00CF6A1C"/>
    <w:rsid w:val="00D01415"/>
    <w:rsid w:val="00D13E88"/>
    <w:rsid w:val="00D232A5"/>
    <w:rsid w:val="00D432D4"/>
    <w:rsid w:val="00D441F8"/>
    <w:rsid w:val="00D505FC"/>
    <w:rsid w:val="00D61E74"/>
    <w:rsid w:val="00DB0203"/>
    <w:rsid w:val="00DB2DC0"/>
    <w:rsid w:val="00DE6DFD"/>
    <w:rsid w:val="00DF7AF7"/>
    <w:rsid w:val="00E03F49"/>
    <w:rsid w:val="00E2149F"/>
    <w:rsid w:val="00E349C0"/>
    <w:rsid w:val="00E71DC2"/>
    <w:rsid w:val="00E722E2"/>
    <w:rsid w:val="00E80DEA"/>
    <w:rsid w:val="00E82484"/>
    <w:rsid w:val="00EA5906"/>
    <w:rsid w:val="00EA6478"/>
    <w:rsid w:val="00EB7F1A"/>
    <w:rsid w:val="00F1092F"/>
    <w:rsid w:val="00F60BAE"/>
    <w:rsid w:val="00F950F2"/>
    <w:rsid w:val="00FB13D8"/>
    <w:rsid w:val="6E3533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locked/>
    <w:uiPriority w:val="99"/>
    <w:rPr>
      <w:rFonts w:ascii="Times New Roman" w:hAnsi="Times New Roman" w:eastAsia="仿宋_GB2312" w:cs="Times New Roman"/>
      <w:sz w:val="18"/>
      <w:szCs w:val="18"/>
    </w:rPr>
  </w:style>
  <w:style w:type="character" w:customStyle="1" w:styleId="8">
    <w:name w:val="页脚 Char"/>
    <w:basedOn w:val="6"/>
    <w:link w:val="2"/>
    <w:locked/>
    <w:uiPriority w:val="99"/>
    <w:rPr>
      <w:rFonts w:ascii="Times New Roman" w:hAnsi="Times New Roman" w:eastAsia="仿宋_GB2312" w:cs="Times New Roman"/>
      <w:sz w:val="18"/>
      <w:szCs w:val="18"/>
    </w:rPr>
  </w:style>
  <w:style w:type="paragraph" w:customStyle="1" w:styleId="9">
    <w:name w:val="正文 New"/>
    <w:uiPriority w:val="99"/>
    <w:pPr>
      <w:widowControl w:val="0"/>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548</Words>
  <Characters>3129</Characters>
  <Lines>26</Lines>
  <Paragraphs>7</Paragraphs>
  <TotalTime>3342</TotalTime>
  <ScaleCrop>false</ScaleCrop>
  <LinksUpToDate>false</LinksUpToDate>
  <CharactersWithSpaces>3670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2019-12-09T07:51:00Z</dcterms:created>
  <dc:creator>PC</dc:creator>
  <cp:lastModifiedBy>Administrator</cp:lastModifiedBy>
  <cp:lastPrinted>2021-05-21T01:14:58Z</cp:lastPrinted>
  <dcterms:modified xsi:type="dcterms:W3CDTF">2021-05-21T01:32:04Z</dcterms:modified>
  <dc:title> 关于2019年度莱山区预算执行和其他财政收支审计查出问题整改情况的报告</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