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0F754">
      <w:pPr>
        <w:jc w:val="right"/>
        <w:rPr>
          <w:rFonts w:hint="eastAsia"/>
        </w:rPr>
      </w:pPr>
    </w:p>
    <w:p w14:paraId="00A3D2D2">
      <w:pPr>
        <w:jc w:val="right"/>
        <w:rPr>
          <w:rFonts w:hint="eastAsia"/>
        </w:rPr>
      </w:pPr>
    </w:p>
    <w:p w14:paraId="10EE1BC8">
      <w:pPr>
        <w:jc w:val="right"/>
        <w:rPr>
          <w:rFonts w:hint="eastAsia"/>
        </w:rPr>
      </w:pPr>
      <w:r>
        <w:rPr>
          <w:rFonts w:hint="eastAsia"/>
        </w:rPr>
        <w:t>解决程度（</w:t>
      </w:r>
      <w:r>
        <w:rPr>
          <w:rFonts w:hint="eastAsia"/>
          <w:highlight w:val="none"/>
        </w:rPr>
        <w:t>B</w:t>
      </w:r>
      <w:r>
        <w:rPr>
          <w:rFonts w:hint="eastAsia"/>
        </w:rPr>
        <w:t>）</w:t>
      </w:r>
    </w:p>
    <w:p w14:paraId="32E5F60A">
      <w:pPr>
        <w:rPr>
          <w:rFonts w:hint="eastAsia"/>
        </w:rPr>
      </w:pPr>
      <w:r>
        <w:rPr>
          <w:rFonts w:hint="eastAsia"/>
        </w:rPr>
        <w:t xml:space="preserve">                                 </w:t>
      </w:r>
      <w:r>
        <w:rPr>
          <w:rFonts w:hint="eastAsia"/>
          <w:lang w:val="en-US" w:eastAsia="zh-CN"/>
        </w:rPr>
        <w:t xml:space="preserve">                 </w:t>
      </w:r>
      <w:r>
        <w:rPr>
          <w:rFonts w:hint="eastAsia"/>
        </w:rPr>
        <w:t>公开</w:t>
      </w:r>
    </w:p>
    <w:p w14:paraId="693F3CCC">
      <w:pPr>
        <w:ind w:firstLine="316" w:firstLineChars="100"/>
        <w:rPr>
          <w:rFonts w:hint="eastAsia"/>
        </w:rPr>
      </w:pPr>
      <w:r>
        <w:rPr>
          <w:rFonts w:hint="eastAsia"/>
        </w:rPr>
        <w:t>签发人：</w:t>
      </w:r>
      <w:r>
        <w:rPr>
          <w:rFonts w:hint="eastAsia"/>
          <w:lang w:val="en-US" w:eastAsia="zh-CN"/>
        </w:rPr>
        <w:t>王大昌</w:t>
      </w:r>
      <w:r>
        <w:rPr>
          <w:rFonts w:hint="eastAsia"/>
        </w:rPr>
        <w:t xml:space="preserve">                 </w:t>
      </w:r>
      <w:r>
        <w:rPr>
          <w:rFonts w:hint="eastAsia"/>
          <w:lang w:val="en-US" w:eastAsia="zh-CN"/>
        </w:rPr>
        <w:t>烟莱经管</w:t>
      </w:r>
      <w:r>
        <w:rPr>
          <w:rFonts w:hint="eastAsia"/>
        </w:rPr>
        <w:t>函〔202</w:t>
      </w:r>
      <w:r>
        <w:rPr>
          <w:rFonts w:hint="eastAsia"/>
          <w:lang w:val="en-US" w:eastAsia="zh-CN"/>
        </w:rPr>
        <w:t>4</w:t>
      </w:r>
      <w:r>
        <w:rPr>
          <w:rFonts w:hint="eastAsia"/>
        </w:rPr>
        <w:t>〕</w:t>
      </w:r>
      <w:r>
        <w:rPr>
          <w:rFonts w:hint="eastAsia"/>
          <w:lang w:val="en-US" w:eastAsia="zh-CN"/>
        </w:rPr>
        <w:t>7</w:t>
      </w:r>
      <w:r>
        <w:rPr>
          <w:rFonts w:hint="eastAsia"/>
        </w:rPr>
        <w:t>号</w:t>
      </w:r>
    </w:p>
    <w:p w14:paraId="30F97AC0">
      <w:pPr>
        <w:rPr>
          <w:rFonts w:hint="eastAsia"/>
        </w:rPr>
      </w:pPr>
      <w:r>
        <w:rPr>
          <w:rFonts w:hint="eastAsia"/>
        </w:rPr>
        <w:t xml:space="preserve"> </w:t>
      </w:r>
    </w:p>
    <w:p w14:paraId="68FFC5BC">
      <w:pPr>
        <w:spacing w:line="580" w:lineRule="exact"/>
        <w:jc w:val="center"/>
        <w:rPr>
          <w:rFonts w:hint="eastAsia" w:ascii="宋体" w:eastAsia="宋体"/>
          <w:b/>
          <w:bCs/>
          <w:sz w:val="44"/>
          <w:szCs w:val="44"/>
        </w:rPr>
      </w:pPr>
      <w:r>
        <w:rPr>
          <w:rFonts w:hint="eastAsia" w:ascii="宋体" w:eastAsia="宋体"/>
          <w:b/>
          <w:bCs/>
          <w:sz w:val="44"/>
          <w:szCs w:val="44"/>
        </w:rPr>
        <w:t>对区</w:t>
      </w:r>
      <w:r>
        <w:rPr>
          <w:rFonts w:hint="eastAsia" w:ascii="宋体" w:eastAsia="宋体"/>
          <w:b/>
          <w:bCs/>
          <w:sz w:val="44"/>
          <w:szCs w:val="44"/>
          <w:lang w:val="en-US" w:eastAsia="zh-CN"/>
        </w:rPr>
        <w:t>七</w:t>
      </w:r>
      <w:r>
        <w:rPr>
          <w:rFonts w:hint="eastAsia" w:ascii="宋体" w:eastAsia="宋体"/>
          <w:b/>
          <w:bCs/>
          <w:sz w:val="44"/>
          <w:szCs w:val="44"/>
        </w:rPr>
        <w:t>届人大代表第</w:t>
      </w:r>
      <w:r>
        <w:rPr>
          <w:rFonts w:hint="eastAsia" w:ascii="宋体" w:eastAsia="宋体"/>
          <w:b/>
          <w:bCs/>
          <w:sz w:val="44"/>
          <w:szCs w:val="44"/>
          <w:lang w:val="en-US" w:eastAsia="zh-CN"/>
        </w:rPr>
        <w:t>021</w:t>
      </w:r>
      <w:r>
        <w:rPr>
          <w:rFonts w:hint="eastAsia" w:ascii="宋体" w:eastAsia="宋体"/>
          <w:b/>
          <w:bCs/>
          <w:sz w:val="44"/>
          <w:szCs w:val="44"/>
        </w:rPr>
        <w:t>号</w:t>
      </w:r>
    </w:p>
    <w:p w14:paraId="3D32B754">
      <w:pPr>
        <w:spacing w:line="580" w:lineRule="exact"/>
        <w:jc w:val="center"/>
        <w:rPr>
          <w:rFonts w:hint="eastAsia" w:ascii="宋体" w:eastAsia="宋体"/>
          <w:b/>
          <w:bCs/>
          <w:sz w:val="44"/>
          <w:szCs w:val="44"/>
        </w:rPr>
      </w:pPr>
      <w:r>
        <w:rPr>
          <w:rFonts w:hint="eastAsia" w:ascii="宋体" w:eastAsia="宋体"/>
          <w:b/>
          <w:bCs/>
          <w:sz w:val="44"/>
          <w:szCs w:val="44"/>
        </w:rPr>
        <w:t xml:space="preserve">建 </w:t>
      </w:r>
      <w:r>
        <w:rPr>
          <w:rFonts w:hint="eastAsia" w:ascii="宋体" w:eastAsia="宋体"/>
          <w:b/>
          <w:bCs/>
          <w:sz w:val="44"/>
          <w:szCs w:val="44"/>
          <w:lang w:val="en-US" w:eastAsia="zh-CN"/>
        </w:rPr>
        <w:t xml:space="preserve"> </w:t>
      </w:r>
      <w:r>
        <w:rPr>
          <w:rFonts w:hint="eastAsia" w:ascii="宋体" w:eastAsia="宋体"/>
          <w:b/>
          <w:bCs/>
          <w:sz w:val="44"/>
          <w:szCs w:val="44"/>
        </w:rPr>
        <w:t>议  的  答  复</w:t>
      </w:r>
    </w:p>
    <w:p w14:paraId="2182B632">
      <w:pPr>
        <w:rPr>
          <w:rFonts w:hint="eastAsia"/>
        </w:rPr>
      </w:pPr>
      <w:r>
        <w:rPr>
          <w:rFonts w:hint="eastAsia"/>
        </w:rPr>
        <w:t xml:space="preserve"> </w:t>
      </w:r>
    </w:p>
    <w:p w14:paraId="4637CAE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rPr>
      </w:pPr>
      <w:r>
        <w:rPr>
          <w:rFonts w:hint="eastAsia"/>
          <w:lang w:val="en-US" w:eastAsia="zh-CN"/>
        </w:rPr>
        <w:t>张侠</w:t>
      </w:r>
      <w:r>
        <w:rPr>
          <w:rFonts w:hint="eastAsia"/>
        </w:rPr>
        <w:t>代表：</w:t>
      </w:r>
    </w:p>
    <w:p w14:paraId="66CD63EE">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您提出的</w:t>
      </w:r>
      <w:r>
        <w:rPr>
          <w:rFonts w:hint="eastAsia"/>
          <w:lang w:eastAsia="zh-CN"/>
        </w:rPr>
        <w:t>《</w:t>
      </w:r>
      <w:r>
        <w:rPr>
          <w:rFonts w:hint="eastAsia"/>
        </w:rPr>
        <w:t>关于环境提升，高</w:t>
      </w:r>
      <w:bookmarkStart w:id="0" w:name="_GoBack"/>
      <w:bookmarkEnd w:id="0"/>
      <w:r>
        <w:rPr>
          <w:rFonts w:hint="eastAsia"/>
        </w:rPr>
        <w:t>标准深化产城融合的建议</w:t>
      </w:r>
      <w:r>
        <w:rPr>
          <w:rFonts w:hint="eastAsia"/>
          <w:lang w:eastAsia="zh-CN"/>
        </w:rPr>
        <w:t>》</w:t>
      </w:r>
      <w:r>
        <w:rPr>
          <w:rFonts w:hint="eastAsia"/>
        </w:rPr>
        <w:t>收悉，</w:t>
      </w:r>
      <w:r>
        <w:rPr>
          <w:rFonts w:hint="eastAsia"/>
          <w:lang w:val="en-US" w:eastAsia="zh-CN"/>
        </w:rPr>
        <w:t>针对您提出的“围绕高铁南站周边区域打造适合吸引高质量人才的产业，提高产业竞争力和创新能力，增加就业机会，通过优化空间布局，提高城市效能和可持续性，改善园区职工和居民生活水平，提高健康获得感”等建议，</w:t>
      </w:r>
      <w:r>
        <w:rPr>
          <w:rFonts w:hint="eastAsia"/>
        </w:rPr>
        <w:t>现答复如下：</w:t>
      </w:r>
    </w:p>
    <w:p w14:paraId="34C95AC1">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仿宋_GB2312"/>
          <w:bCs/>
          <w:color w:val="auto"/>
          <w:sz w:val="32"/>
          <w:szCs w:val="32"/>
          <w:highlight w:val="none"/>
          <w:lang w:val="en-US" w:eastAsia="zh-CN"/>
        </w:rPr>
      </w:pPr>
      <w:r>
        <w:rPr>
          <w:rFonts w:hint="eastAsia"/>
          <w:lang w:val="en-US" w:eastAsia="zh-CN"/>
        </w:rPr>
        <w:t>莱山经济开发区贯彻执行“一区四园”发展思路，在高铁南站南侧地块规划布局了电子信息和人工智能产业园。</w:t>
      </w:r>
      <w:r>
        <w:rPr>
          <w:rFonts w:hint="eastAsia" w:ascii="仿宋_GB2312" w:hAnsi="仿宋_GB2312" w:eastAsia="仿宋_GB2312" w:cs="仿宋_GB2312"/>
          <w:color w:val="auto"/>
          <w:sz w:val="32"/>
          <w:szCs w:val="40"/>
          <w:lang w:val="en-US" w:eastAsia="zh-CN"/>
        </w:rPr>
        <w:t>产业园规划总占地面积约925亩，可建设用地面积约593亩，容积率为1.50-2.32，拟建地上建筑面积约83万平方米。目前蓝德路以南占地面积约432亩（可建设用地面积约269亩）地块成片开发方案已批回。产业园计划围绕人工智能、新一代信息技术等新兴产业，重点招引集成电路芯片、智能传感、高端电子信息、消费电子等细分产业领域企业入驻</w:t>
      </w:r>
      <w:r>
        <w:rPr>
          <w:rFonts w:hint="eastAsia" w:hAnsi="仿宋_GB2312" w:cs="仿宋_GB2312"/>
          <w:color w:val="auto"/>
          <w:sz w:val="32"/>
          <w:szCs w:val="40"/>
          <w:lang w:val="en-US" w:eastAsia="zh-CN"/>
        </w:rPr>
        <w:t>，</w:t>
      </w:r>
      <w:r>
        <w:rPr>
          <w:rFonts w:hint="eastAsia"/>
          <w:lang w:val="en-US" w:eastAsia="zh-CN"/>
        </w:rPr>
        <w:t>将发挥中国电子商会、华大基因等龙头企业的产业资源优势，大力开展建链强链补链工作，重点引进英特尔创新加速器人工智能创新中心、京东方艺云科技、易智时代等产业链上下游配套企业入驻；同时依托航空产业园的辐射带动作用，吸聚一批航空电子信息产业类项目及企业落户，构建“谋划储备一批、签约落地一批、开工建设一批”的产业导入梯次推进格局。</w:t>
      </w:r>
      <w:r>
        <w:rPr>
          <w:rFonts w:hint="eastAsia" w:ascii="仿宋_GB2312" w:hAnsi="仿宋_GB2312" w:eastAsia="仿宋_GB2312" w:cs="仿宋_GB2312"/>
          <w:bCs/>
          <w:color w:val="auto"/>
          <w:sz w:val="32"/>
          <w:szCs w:val="32"/>
          <w:highlight w:val="none"/>
          <w:lang w:val="en-US" w:eastAsia="zh-CN"/>
        </w:rPr>
        <w:t>下一步，电子信息与人工智能产业园地块将依据《国土空间调查、规划、用途管制用地用海分类指南》进行用地性质调整，</w:t>
      </w:r>
      <w:r>
        <w:rPr>
          <w:rFonts w:hint="eastAsia" w:hAnsi="仿宋_GB2312" w:cs="仿宋_GB2312"/>
          <w:bCs/>
          <w:color w:val="auto"/>
          <w:sz w:val="32"/>
          <w:szCs w:val="32"/>
          <w:highlight w:val="none"/>
          <w:lang w:val="en-US" w:eastAsia="zh-CN"/>
        </w:rPr>
        <w:t>随后</w:t>
      </w:r>
      <w:r>
        <w:rPr>
          <w:rFonts w:hint="eastAsia" w:ascii="仿宋_GB2312" w:hAnsi="仿宋_GB2312" w:eastAsia="仿宋_GB2312" w:cs="仿宋_GB2312"/>
          <w:bCs/>
          <w:color w:val="auto"/>
          <w:sz w:val="32"/>
          <w:szCs w:val="32"/>
          <w:highlight w:val="none"/>
          <w:lang w:val="en-US" w:eastAsia="zh-CN"/>
        </w:rPr>
        <w:t>尽快开展土地指标申请等工作</w:t>
      </w:r>
      <w:r>
        <w:rPr>
          <w:rFonts w:hint="eastAsia" w:hAnsi="仿宋_GB2312" w:cs="仿宋_GB2312"/>
          <w:bCs/>
          <w:color w:val="auto"/>
          <w:sz w:val="32"/>
          <w:szCs w:val="32"/>
          <w:highlight w:val="none"/>
          <w:lang w:val="en-US" w:eastAsia="zh-CN"/>
        </w:rPr>
        <w:t>，力争早日启动建设</w:t>
      </w:r>
      <w:r>
        <w:rPr>
          <w:rFonts w:hint="eastAsia" w:ascii="仿宋_GB2312" w:hAnsi="仿宋_GB2312" w:eastAsia="仿宋_GB2312" w:cs="仿宋_GB2312"/>
          <w:bCs/>
          <w:color w:val="auto"/>
          <w:sz w:val="32"/>
          <w:szCs w:val="32"/>
          <w:highlight w:val="none"/>
          <w:lang w:val="en-US" w:eastAsia="zh-CN"/>
        </w:rPr>
        <w:t>。</w:t>
      </w:r>
    </w:p>
    <w:p w14:paraId="3A35809A">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lang w:val="en-US" w:eastAsia="zh-CN"/>
        </w:rPr>
      </w:pPr>
      <w:r>
        <w:rPr>
          <w:rFonts w:hint="eastAsia"/>
          <w:lang w:val="en-US" w:eastAsia="zh-CN"/>
        </w:rPr>
        <w:t>同时，您提出的优化空间布局、提高城市能效和可持续性的建议非常具有建设性，目前，高铁南站周边的东马家都旧村改造项目已经启动建设，为缓解教育压力和均衡资源配置，目前地块规划新建立一所幼儿园。下步，将结合当前正在推进的东都旧村改造项目，研究开展东都河河道整治提升工程，布局建设沿河健身公园，设置亲子游乐区、健身设施、健身步道等，进一步改善提升居民生活环境，切实增强地区经济活力。</w:t>
      </w:r>
    </w:p>
    <w:p w14:paraId="69BA2F1E">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lang w:val="en-US" w:eastAsia="zh-CN"/>
        </w:rPr>
      </w:pPr>
      <w:r>
        <w:rPr>
          <w:rFonts w:hint="default"/>
          <w:lang w:val="en-US" w:eastAsia="zh-CN"/>
        </w:rPr>
        <w:t>在下一步的具体推进中，我们将充分考虑您提出的关于高标准深化产城融合、环境提升</w:t>
      </w:r>
      <w:r>
        <w:rPr>
          <w:rFonts w:hint="eastAsia"/>
          <w:lang w:val="en-US" w:eastAsia="zh-CN"/>
        </w:rPr>
        <w:t>等方面工作，特别是在建设产业园区、东都河绿色升级改造等工作中，将这些作为工作的重点参考。也希望您继续关注园区发展建设，多提宝贵意见！</w:t>
      </w:r>
      <w:r>
        <w:rPr>
          <w:rFonts w:hint="eastAsia"/>
        </w:rPr>
        <w:t xml:space="preserve">          </w:t>
      </w:r>
      <w:r>
        <w:rPr>
          <w:rFonts w:hint="eastAsia"/>
          <w:lang w:val="en-US" w:eastAsia="zh-CN"/>
        </w:rPr>
        <w:t xml:space="preserve"> </w:t>
      </w:r>
    </w:p>
    <w:p w14:paraId="2AA56DF7">
      <w:pPr>
        <w:keepNext w:val="0"/>
        <w:keepLines w:val="0"/>
        <w:pageBreakBefore w:val="0"/>
        <w:widowControl w:val="0"/>
        <w:kinsoku/>
        <w:wordWrap/>
        <w:overflowPunct/>
        <w:topLinePunct w:val="0"/>
        <w:autoSpaceDE/>
        <w:autoSpaceDN/>
        <w:bidi w:val="0"/>
        <w:adjustRightInd/>
        <w:snapToGrid/>
        <w:spacing w:line="580" w:lineRule="exact"/>
        <w:ind w:firstLine="3476" w:firstLineChars="1100"/>
        <w:textAlignment w:val="auto"/>
        <w:rPr>
          <w:rFonts w:hint="eastAsia"/>
          <w:lang w:val="en-US" w:eastAsia="zh-CN"/>
        </w:rPr>
      </w:pPr>
    </w:p>
    <w:p w14:paraId="579A6E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_GB2312" w:hAnsi="楷体_GB2312" w:eastAsia="楷体_GB2312" w:cs="楷体_GB2312"/>
          <w:lang w:eastAsia="zh-CN"/>
        </w:rPr>
      </w:pPr>
    </w:p>
    <w:p w14:paraId="6FB3D66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此页无正文</w:t>
      </w:r>
      <w:r>
        <w:rPr>
          <w:rFonts w:hint="eastAsia" w:ascii="楷体_GB2312" w:hAnsi="楷体_GB2312" w:eastAsia="楷体_GB2312" w:cs="楷体_GB2312"/>
          <w:lang w:eastAsia="zh-CN"/>
        </w:rPr>
        <w:t>）</w:t>
      </w:r>
    </w:p>
    <w:p w14:paraId="5264222C">
      <w:pPr>
        <w:rPr>
          <w:rFonts w:hint="eastAsia"/>
          <w:lang w:val="en-US" w:eastAsia="zh-CN"/>
        </w:rPr>
      </w:pPr>
    </w:p>
    <w:p w14:paraId="5F24EDB8">
      <w:pPr>
        <w:rPr>
          <w:rFonts w:hint="eastAsia"/>
          <w:lang w:val="en-US" w:eastAsia="zh-CN"/>
        </w:rPr>
      </w:pPr>
    </w:p>
    <w:p w14:paraId="16C4B79F">
      <w:pPr>
        <w:keepNext w:val="0"/>
        <w:keepLines w:val="0"/>
        <w:pageBreakBefore w:val="0"/>
        <w:widowControl w:val="0"/>
        <w:kinsoku/>
        <w:wordWrap/>
        <w:overflowPunct/>
        <w:topLinePunct w:val="0"/>
        <w:autoSpaceDE/>
        <w:autoSpaceDN/>
        <w:bidi w:val="0"/>
        <w:adjustRightInd/>
        <w:snapToGrid/>
        <w:spacing w:line="580" w:lineRule="exact"/>
        <w:ind w:firstLine="3476" w:firstLineChars="1100"/>
        <w:textAlignment w:val="auto"/>
        <w:rPr>
          <w:rFonts w:hint="default" w:eastAsia="仿宋_GB2312"/>
          <w:lang w:val="en-US" w:eastAsia="zh-CN"/>
        </w:rPr>
      </w:pPr>
      <w:r>
        <w:rPr>
          <w:rFonts w:hint="eastAsia"/>
          <w:lang w:val="en-US" w:eastAsia="zh-CN"/>
        </w:rPr>
        <w:t>烟台市莱山经济开发区管理委员会</w:t>
      </w:r>
    </w:p>
    <w:p w14:paraId="2C76DE81">
      <w:pPr>
        <w:keepNext w:val="0"/>
        <w:keepLines w:val="0"/>
        <w:pageBreakBefore w:val="0"/>
        <w:widowControl w:val="0"/>
        <w:kinsoku/>
        <w:wordWrap/>
        <w:overflowPunct/>
        <w:topLinePunct w:val="0"/>
        <w:autoSpaceDE/>
        <w:autoSpaceDN/>
        <w:bidi w:val="0"/>
        <w:adjustRightInd/>
        <w:snapToGrid/>
        <w:spacing w:line="580" w:lineRule="exact"/>
        <w:ind w:firstLine="4680" w:firstLineChars="1481"/>
        <w:textAlignment w:val="auto"/>
        <w:rPr>
          <w:rFonts w:hint="eastAsia"/>
        </w:rPr>
      </w:pPr>
      <w:r>
        <w:rPr>
          <w:rFonts w:hint="eastAsia"/>
          <w:lang w:val="en-US" w:eastAsia="zh-CN"/>
        </w:rPr>
        <w:t>2024</w:t>
      </w:r>
      <w:r>
        <w:rPr>
          <w:rFonts w:hint="eastAsia"/>
        </w:rPr>
        <w:t>年</w:t>
      </w:r>
      <w:r>
        <w:rPr>
          <w:rFonts w:hint="eastAsia"/>
          <w:lang w:val="en-US" w:eastAsia="zh-CN"/>
        </w:rPr>
        <w:t>8</w:t>
      </w:r>
      <w:r>
        <w:rPr>
          <w:rFonts w:hint="eastAsia"/>
        </w:rPr>
        <w:t>月</w:t>
      </w:r>
      <w:r>
        <w:rPr>
          <w:rFonts w:hint="eastAsia"/>
          <w:lang w:val="en-US" w:eastAsia="zh-CN"/>
        </w:rPr>
        <w:t>15</w:t>
      </w:r>
      <w:r>
        <w:rPr>
          <w:rFonts w:hint="eastAsia"/>
        </w:rPr>
        <w:t>日</w:t>
      </w:r>
    </w:p>
    <w:p w14:paraId="29700987">
      <w:pPr>
        <w:rPr>
          <w:rFonts w:hint="eastAsia"/>
        </w:rPr>
      </w:pPr>
      <w:r>
        <w:rPr>
          <w:rFonts w:hint="eastAsia"/>
        </w:rPr>
        <w:t xml:space="preserve"> </w:t>
      </w:r>
    </w:p>
    <w:p w14:paraId="30EBBBA3">
      <w:pPr>
        <w:pStyle w:val="2"/>
        <w:rPr>
          <w:rFonts w:hint="eastAsia"/>
        </w:rPr>
      </w:pPr>
    </w:p>
    <w:p w14:paraId="3D572D4B">
      <w:pPr>
        <w:rPr>
          <w:rFonts w:hint="eastAsia"/>
        </w:rPr>
      </w:pPr>
    </w:p>
    <w:p w14:paraId="156F4709">
      <w:pPr>
        <w:pStyle w:val="2"/>
        <w:rPr>
          <w:rFonts w:hint="eastAsia"/>
        </w:rPr>
      </w:pPr>
    </w:p>
    <w:p w14:paraId="34E3BA21">
      <w:pPr>
        <w:pStyle w:val="2"/>
        <w:rPr>
          <w:rFonts w:hint="eastAsia"/>
        </w:rPr>
      </w:pPr>
    </w:p>
    <w:p w14:paraId="37EFE6B2">
      <w:pPr>
        <w:rPr>
          <w:rFonts w:hint="eastAsia"/>
        </w:rPr>
      </w:pPr>
    </w:p>
    <w:p w14:paraId="354DF1FF">
      <w:pPr>
        <w:pStyle w:val="2"/>
        <w:rPr>
          <w:rFonts w:hint="eastAsia"/>
        </w:rPr>
      </w:pPr>
    </w:p>
    <w:p w14:paraId="63D56B5D">
      <w:pPr>
        <w:rPr>
          <w:rFonts w:hint="eastAsia"/>
        </w:rPr>
      </w:pPr>
    </w:p>
    <w:p w14:paraId="2485060F">
      <w:pPr>
        <w:rPr>
          <w:rFonts w:hint="default" w:eastAsia="仿宋_GB2312"/>
          <w:lang w:val="en-US" w:eastAsia="zh-CN"/>
        </w:rPr>
      </w:pPr>
      <w:r>
        <w:rPr>
          <w:rFonts w:hint="eastAsia"/>
        </w:rPr>
        <w:t xml:space="preserve">    联系单位：</w:t>
      </w:r>
      <w:r>
        <w:rPr>
          <w:rFonts w:hint="eastAsia"/>
          <w:lang w:val="en-US" w:eastAsia="zh-CN"/>
        </w:rPr>
        <w:t>莱山经济开发区管理委员会</w:t>
      </w:r>
    </w:p>
    <w:p w14:paraId="2002562A">
      <w:pPr>
        <w:ind w:firstLine="632" w:firstLineChars="200"/>
        <w:rPr>
          <w:rFonts w:hint="eastAsia"/>
        </w:rPr>
      </w:pPr>
      <w:r>
        <w:rPr>
          <w:rFonts w:hint="eastAsia"/>
        </w:rPr>
        <w:t>联系电话：0535-6729899</w:t>
      </w:r>
    </w:p>
    <w:p w14:paraId="43D511AC">
      <w:pPr>
        <w:ind w:firstLine="632" w:firstLineChars="200"/>
        <w:rPr>
          <w:rFonts w:hint="eastAsia" w:ascii="宋体" w:eastAsia="宋体"/>
          <w:b/>
          <w:bCs/>
          <w:sz w:val="44"/>
          <w:szCs w:val="44"/>
        </w:rPr>
      </w:pPr>
      <w:r>
        <w:rPr>
          <w:rFonts w:hint="eastAsia"/>
        </w:rPr>
        <w:t>抄    送：区人大常委会人事代表委、区政府办公室</w:t>
      </w:r>
    </w:p>
    <w:p w14:paraId="3BA570FA">
      <w:pPr>
        <w:jc w:val="center"/>
        <w:rPr>
          <w:rFonts w:hint="eastAsia" w:ascii="宋体" w:eastAsia="宋体"/>
          <w:b/>
          <w:bCs/>
          <w:sz w:val="44"/>
          <w:szCs w:val="44"/>
        </w:rPr>
      </w:pPr>
      <w:r>
        <w:rPr>
          <w:rFonts w:hint="eastAsia" w:ascii="宋体" w:eastAsia="宋体"/>
          <w:b/>
          <w:bCs/>
          <w:sz w:val="44"/>
          <w:szCs w:val="44"/>
        </w:rPr>
        <w:t>代表建议办理情况反馈表</w:t>
      </w:r>
    </w:p>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0"/>
        <w:gridCol w:w="5950"/>
      </w:tblGrid>
      <w:tr w14:paraId="1DED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110" w:type="dxa"/>
            <w:tcBorders>
              <w:top w:val="single" w:color="auto" w:sz="4" w:space="0"/>
              <w:left w:val="single" w:color="auto" w:sz="4" w:space="0"/>
              <w:bottom w:val="single" w:color="auto" w:sz="4" w:space="0"/>
              <w:right w:val="single" w:color="auto" w:sz="4" w:space="0"/>
            </w:tcBorders>
            <w:noWrap w:val="0"/>
            <w:vAlign w:val="center"/>
          </w:tcPr>
          <w:p w14:paraId="1D86048A">
            <w:pPr>
              <w:ind w:firstLine="632"/>
              <w:rPr>
                <w:rFonts w:ascii="黑体" w:eastAsia="黑体"/>
              </w:rPr>
            </w:pPr>
            <w:r>
              <w:rPr>
                <w:rFonts w:hint="eastAsia" w:ascii="黑体" w:eastAsia="黑体"/>
              </w:rPr>
              <w:t>建议代表姓名</w:t>
            </w:r>
          </w:p>
        </w:tc>
        <w:tc>
          <w:tcPr>
            <w:tcW w:w="5950" w:type="dxa"/>
            <w:tcBorders>
              <w:top w:val="single" w:color="auto" w:sz="4" w:space="0"/>
              <w:left w:val="nil"/>
              <w:bottom w:val="single" w:color="auto" w:sz="4" w:space="0"/>
              <w:right w:val="single" w:color="auto" w:sz="4" w:space="0"/>
            </w:tcBorders>
            <w:noWrap w:val="0"/>
            <w:vAlign w:val="top"/>
          </w:tcPr>
          <w:p w14:paraId="5AE95F9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eastAsia="黑体"/>
                <w:lang w:eastAsia="zh-CN"/>
              </w:rPr>
            </w:pPr>
            <w:r>
              <w:rPr>
                <w:rFonts w:hint="eastAsia" w:ascii="仿宋_GB2312" w:hAnsi="仿宋_GB2312" w:eastAsia="仿宋_GB2312" w:cs="仿宋_GB2312"/>
                <w:bCs/>
                <w:color w:val="auto"/>
                <w:sz w:val="32"/>
                <w:szCs w:val="32"/>
                <w:highlight w:val="none"/>
                <w:lang w:val="en-US" w:eastAsia="zh-CN"/>
              </w:rPr>
              <w:t>张侠</w:t>
            </w:r>
          </w:p>
        </w:tc>
      </w:tr>
      <w:tr w14:paraId="3B24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3110" w:type="dxa"/>
            <w:tcBorders>
              <w:top w:val="single" w:color="auto" w:sz="4" w:space="0"/>
              <w:left w:val="single" w:color="auto" w:sz="4" w:space="0"/>
              <w:bottom w:val="single" w:color="auto" w:sz="4" w:space="0"/>
              <w:right w:val="single" w:color="auto" w:sz="4" w:space="0"/>
            </w:tcBorders>
            <w:noWrap w:val="0"/>
            <w:vAlign w:val="center"/>
          </w:tcPr>
          <w:p w14:paraId="2BDC25D9">
            <w:pPr>
              <w:rPr>
                <w:rFonts w:ascii="黑体" w:eastAsia="黑体"/>
              </w:rPr>
            </w:pPr>
            <w:r>
              <w:rPr>
                <w:rFonts w:hint="eastAsia" w:ascii="黑体" w:eastAsia="黑体"/>
              </w:rPr>
              <w:t>所提建议编号及名称</w:t>
            </w:r>
          </w:p>
        </w:tc>
        <w:tc>
          <w:tcPr>
            <w:tcW w:w="5950" w:type="dxa"/>
            <w:tcBorders>
              <w:top w:val="single" w:color="auto" w:sz="4" w:space="0"/>
              <w:left w:val="nil"/>
              <w:bottom w:val="single" w:color="auto" w:sz="4" w:space="0"/>
              <w:right w:val="single" w:color="auto" w:sz="4" w:space="0"/>
            </w:tcBorders>
            <w:noWrap w:val="0"/>
            <w:vAlign w:val="top"/>
          </w:tcPr>
          <w:p w14:paraId="7EDAE1EB">
            <w:pPr>
              <w:rPr>
                <w:rFonts w:ascii="黑体" w:eastAsia="黑体"/>
              </w:rPr>
            </w:pPr>
            <w:r>
              <w:rPr>
                <w:rFonts w:hint="eastAsia"/>
                <w:lang w:val="en-US" w:eastAsia="zh-CN"/>
              </w:rPr>
              <w:t>第021号《关于环境提升，高标准深化产城融合的建议》</w:t>
            </w:r>
          </w:p>
        </w:tc>
      </w:tr>
      <w:tr w14:paraId="62D7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3110" w:type="dxa"/>
            <w:tcBorders>
              <w:top w:val="single" w:color="auto" w:sz="4" w:space="0"/>
              <w:left w:val="single" w:color="auto" w:sz="4" w:space="0"/>
              <w:bottom w:val="single" w:color="auto" w:sz="4" w:space="0"/>
              <w:right w:val="single" w:color="auto" w:sz="4" w:space="0"/>
            </w:tcBorders>
            <w:noWrap w:val="0"/>
            <w:vAlign w:val="center"/>
          </w:tcPr>
          <w:p w14:paraId="7EDBCD05">
            <w:pPr>
              <w:ind w:firstLine="632"/>
              <w:rPr>
                <w:rFonts w:ascii="黑体" w:eastAsia="黑体"/>
              </w:rPr>
            </w:pPr>
            <w:r>
              <w:rPr>
                <w:rFonts w:hint="eastAsia" w:ascii="黑体" w:eastAsia="黑体"/>
              </w:rPr>
              <w:t>办理情况</w:t>
            </w:r>
          </w:p>
        </w:tc>
        <w:tc>
          <w:tcPr>
            <w:tcW w:w="5950" w:type="dxa"/>
            <w:tcBorders>
              <w:top w:val="single" w:color="auto" w:sz="4" w:space="0"/>
              <w:left w:val="nil"/>
              <w:bottom w:val="single" w:color="auto" w:sz="4" w:space="0"/>
              <w:right w:val="single" w:color="auto" w:sz="4" w:space="0"/>
            </w:tcBorders>
            <w:noWrap w:val="0"/>
            <w:vAlign w:val="top"/>
          </w:tcPr>
          <w:p w14:paraId="15A57EC2">
            <w:pPr>
              <w:keepNext w:val="0"/>
              <w:keepLines w:val="0"/>
              <w:pageBreakBefore w:val="0"/>
              <w:widowControl w:val="0"/>
              <w:kinsoku/>
              <w:wordWrap/>
              <w:overflowPunct/>
              <w:topLinePunct w:val="0"/>
              <w:autoSpaceDE/>
              <w:autoSpaceDN/>
              <w:bidi w:val="0"/>
              <w:adjustRightInd/>
              <w:snapToGrid/>
              <w:spacing w:line="380" w:lineRule="exact"/>
              <w:ind w:firstLine="316" w:firstLineChars="100"/>
              <w:textAlignment w:val="auto"/>
              <w:rPr>
                <w:rFonts w:hint="eastAsia" w:hAnsi="仿宋_GB2312" w:cs="仿宋_GB2312"/>
                <w:bCs/>
                <w:color w:val="auto"/>
                <w:sz w:val="32"/>
                <w:szCs w:val="32"/>
                <w:highlight w:val="none"/>
                <w:lang w:val="en-US" w:eastAsia="zh-CN"/>
              </w:rPr>
            </w:pPr>
            <w:r>
              <w:rPr>
                <w:rFonts w:hint="eastAsia" w:hAnsi="仿宋_GB2312" w:cs="仿宋_GB2312"/>
                <w:bCs/>
                <w:color w:val="auto"/>
                <w:sz w:val="32"/>
                <w:szCs w:val="32"/>
                <w:highlight w:val="none"/>
                <w:lang w:val="en-US" w:eastAsia="zh-CN"/>
              </w:rPr>
              <w:t>已办结。</w:t>
            </w:r>
          </w:p>
          <w:p w14:paraId="3BAC90DA">
            <w:pPr>
              <w:keepNext w:val="0"/>
              <w:keepLines w:val="0"/>
              <w:pageBreakBefore w:val="0"/>
              <w:widowControl w:val="0"/>
              <w:kinsoku/>
              <w:wordWrap/>
              <w:overflowPunct/>
              <w:topLinePunct w:val="0"/>
              <w:autoSpaceDE/>
              <w:autoSpaceDN/>
              <w:bidi w:val="0"/>
              <w:adjustRightInd/>
              <w:snapToGrid/>
              <w:spacing w:line="380" w:lineRule="exact"/>
              <w:ind w:firstLine="316" w:firstLineChars="100"/>
              <w:textAlignment w:val="auto"/>
              <w:rPr>
                <w:rFonts w:ascii="黑体" w:eastAsia="黑体"/>
              </w:rPr>
            </w:pPr>
            <w:r>
              <w:rPr>
                <w:rFonts w:hint="eastAsia" w:hAnsi="仿宋_GB2312" w:cs="仿宋_GB2312"/>
                <w:bCs/>
                <w:color w:val="auto"/>
                <w:sz w:val="32"/>
                <w:szCs w:val="32"/>
                <w:highlight w:val="none"/>
                <w:lang w:val="en-US" w:eastAsia="zh-CN"/>
              </w:rPr>
              <w:t>莱山经济开发区在高铁南站南侧地块规划布局了电子信息和人工智能产业园。产业园地块将依据《国土空间调查、规划、用途管制用地用海分类指</w:t>
            </w:r>
            <w:r>
              <w:rPr>
                <w:rFonts w:hint="eastAsia" w:ascii="仿宋_GB2312" w:hAnsi="仿宋_GB2312" w:eastAsia="仿宋_GB2312" w:cs="仿宋_GB2312"/>
                <w:bCs/>
                <w:color w:val="auto"/>
                <w:sz w:val="32"/>
                <w:szCs w:val="32"/>
                <w:highlight w:val="none"/>
                <w:lang w:val="en-US" w:eastAsia="zh-CN"/>
              </w:rPr>
              <w:t>南》进行用地性质调整，</w:t>
            </w:r>
            <w:r>
              <w:rPr>
                <w:rFonts w:hint="eastAsia" w:hAnsi="仿宋_GB2312" w:cs="仿宋_GB2312"/>
                <w:bCs/>
                <w:color w:val="auto"/>
                <w:sz w:val="32"/>
                <w:szCs w:val="32"/>
                <w:highlight w:val="none"/>
                <w:lang w:val="en-US" w:eastAsia="zh-CN"/>
              </w:rPr>
              <w:t>随后</w:t>
            </w:r>
            <w:r>
              <w:rPr>
                <w:rFonts w:hint="eastAsia" w:ascii="仿宋_GB2312" w:hAnsi="仿宋_GB2312" w:eastAsia="仿宋_GB2312" w:cs="仿宋_GB2312"/>
                <w:bCs/>
                <w:color w:val="auto"/>
                <w:sz w:val="32"/>
                <w:szCs w:val="32"/>
                <w:highlight w:val="none"/>
                <w:lang w:val="en-US" w:eastAsia="zh-CN"/>
              </w:rPr>
              <w:t>尽快开展土地指标申请等工作</w:t>
            </w:r>
            <w:r>
              <w:rPr>
                <w:rFonts w:hint="eastAsia" w:hAnsi="仿宋_GB2312" w:cs="仿宋_GB2312"/>
                <w:bCs/>
                <w:color w:val="auto"/>
                <w:sz w:val="32"/>
                <w:szCs w:val="32"/>
                <w:highlight w:val="none"/>
                <w:lang w:val="en-US" w:eastAsia="zh-CN"/>
              </w:rPr>
              <w:t>，力争早日启动建设</w:t>
            </w:r>
            <w:r>
              <w:rPr>
                <w:rFonts w:hint="eastAsia"/>
                <w:lang w:val="en-US" w:eastAsia="zh-CN"/>
              </w:rPr>
              <w:t>。同时，针对优化空间布局、提高城市能效和可持续性的建议，在东都旧村改造过程中，目前地块规划新建立一所幼儿园，并结合当前正在推进的东都旧村改造项目，研究沿河道布局公园、景观、市场、商圈等，并提报上级部门。审批完成后，开展针对性的招商引入工作。</w:t>
            </w:r>
          </w:p>
        </w:tc>
      </w:tr>
      <w:tr w14:paraId="5B51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trPr>
        <w:tc>
          <w:tcPr>
            <w:tcW w:w="3110" w:type="dxa"/>
            <w:tcBorders>
              <w:top w:val="single" w:color="auto" w:sz="4" w:space="0"/>
              <w:left w:val="single" w:color="auto" w:sz="4" w:space="0"/>
              <w:bottom w:val="single" w:color="auto" w:sz="4" w:space="0"/>
              <w:right w:val="single" w:color="auto" w:sz="4" w:space="0"/>
            </w:tcBorders>
            <w:noWrap w:val="0"/>
            <w:vAlign w:val="center"/>
          </w:tcPr>
          <w:p w14:paraId="4B22A072">
            <w:pPr>
              <w:ind w:firstLine="632"/>
              <w:rPr>
                <w:rFonts w:hint="eastAsia" w:ascii="黑体" w:eastAsia="黑体"/>
              </w:rPr>
            </w:pPr>
            <w:r>
              <w:rPr>
                <w:rFonts w:hint="eastAsia" w:ascii="黑体" w:eastAsia="黑体"/>
              </w:rPr>
              <w:t>代表意见</w:t>
            </w:r>
          </w:p>
        </w:tc>
        <w:tc>
          <w:tcPr>
            <w:tcW w:w="5950" w:type="dxa"/>
            <w:tcBorders>
              <w:top w:val="single" w:color="auto" w:sz="4" w:space="0"/>
              <w:left w:val="nil"/>
              <w:bottom w:val="single" w:color="auto" w:sz="4" w:space="0"/>
              <w:right w:val="single" w:color="auto" w:sz="4" w:space="0"/>
            </w:tcBorders>
            <w:noWrap w:val="0"/>
            <w:vAlign w:val="top"/>
          </w:tcPr>
          <w:p w14:paraId="4C8CDEBD">
            <w:pPr>
              <w:ind w:firstLine="632"/>
              <w:rPr>
                <w:rFonts w:hint="eastAsia" w:ascii="黑体" w:eastAsia="黑体"/>
              </w:rPr>
            </w:pPr>
          </w:p>
          <w:p w14:paraId="3AFAB8B8">
            <w:pPr>
              <w:ind w:firstLine="632"/>
              <w:rPr>
                <w:rFonts w:hint="eastAsia" w:ascii="黑体" w:eastAsia="黑体"/>
              </w:rPr>
            </w:pPr>
          </w:p>
          <w:p w14:paraId="037A4AB9">
            <w:pPr>
              <w:ind w:firstLine="632"/>
              <w:rPr>
                <w:rFonts w:hint="eastAsia" w:ascii="黑体" w:eastAsia="黑体"/>
              </w:rPr>
            </w:pPr>
            <w:r>
              <w:rPr>
                <w:rFonts w:hint="eastAsia" w:ascii="黑体" w:eastAsia="黑体"/>
              </w:rPr>
              <w:t>代表签名：</w:t>
            </w:r>
          </w:p>
          <w:p w14:paraId="65BDD03F">
            <w:pPr>
              <w:ind w:firstLine="632"/>
              <w:rPr>
                <w:rFonts w:hint="eastAsia" w:ascii="黑体" w:eastAsia="黑体"/>
              </w:rPr>
            </w:pPr>
            <w:r>
              <w:rPr>
                <w:rFonts w:hint="eastAsia" w:ascii="黑体" w:eastAsia="黑体"/>
              </w:rPr>
              <w:t xml:space="preserve">             年   月   日</w:t>
            </w:r>
          </w:p>
        </w:tc>
      </w:tr>
    </w:tbl>
    <w:p w14:paraId="5EE90B3D">
      <w:pPr>
        <w:rPr>
          <w:rFonts w:hint="eastAsia"/>
        </w:rPr>
      </w:pPr>
    </w:p>
    <w:sectPr>
      <w:footerReference r:id="rId3" w:type="default"/>
      <w:pgSz w:w="11906" w:h="16838"/>
      <w:pgMar w:top="2098" w:right="1531" w:bottom="1984" w:left="1531" w:header="851" w:footer="1418" w:gutter="0"/>
      <w:cols w:space="720" w:num="1"/>
      <w:titlePg/>
      <w:docGrid w:type="linesAndChars" w:linePitch="55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69D12">
    <w:pPr>
      <w:pStyle w:val="3"/>
      <w:jc w:val="center"/>
      <w:rPr>
        <w:rFonts w:hint="eastAsia" w:ascii="宋体" w:eastAsia="宋体"/>
        <w:sz w:val="28"/>
        <w:szCs w:val="28"/>
      </w:rPr>
    </w:pPr>
    <w:r>
      <w:rPr>
        <w:rFonts w:hint="eastAsia" w:ascii="宋体" w:eastAsia="宋体"/>
        <w:kern w:val="0"/>
        <w:sz w:val="28"/>
        <w:szCs w:val="28"/>
      </w:rPr>
      <w:t>—</w:t>
    </w:r>
    <w:r>
      <w:rPr>
        <w:rFonts w:ascii="宋体" w:eastAsia="宋体"/>
        <w:kern w:val="0"/>
        <w:sz w:val="28"/>
        <w:szCs w:val="28"/>
      </w:rPr>
      <w:t xml:space="preserve"> </w:t>
    </w:r>
    <w:r>
      <w:rPr>
        <w:rFonts w:ascii="宋体" w:eastAsia="宋体"/>
        <w:kern w:val="0"/>
        <w:sz w:val="28"/>
        <w:szCs w:val="28"/>
      </w:rPr>
      <w:fldChar w:fldCharType="begin"/>
    </w:r>
    <w:r>
      <w:rPr>
        <w:rFonts w:ascii="宋体" w:eastAsia="宋体"/>
        <w:kern w:val="0"/>
        <w:sz w:val="28"/>
        <w:szCs w:val="28"/>
      </w:rPr>
      <w:instrText xml:space="preserve"> PAGE </w:instrText>
    </w:r>
    <w:r>
      <w:rPr>
        <w:rFonts w:ascii="宋体" w:eastAsia="宋体"/>
        <w:kern w:val="0"/>
        <w:sz w:val="28"/>
        <w:szCs w:val="28"/>
      </w:rPr>
      <w:fldChar w:fldCharType="separate"/>
    </w:r>
    <w:r>
      <w:rPr>
        <w:rFonts w:ascii="宋体" w:eastAsia="宋体"/>
        <w:kern w:val="0"/>
        <w:sz w:val="28"/>
        <w:szCs w:val="28"/>
      </w:rPr>
      <w:t>5</w:t>
    </w:r>
    <w:r>
      <w:rPr>
        <w:rFonts w:ascii="宋体" w:eastAsia="宋体"/>
        <w:kern w:val="0"/>
        <w:sz w:val="28"/>
        <w:szCs w:val="28"/>
      </w:rPr>
      <w:fldChar w:fldCharType="end"/>
    </w:r>
    <w:r>
      <w:rPr>
        <w:rFonts w:ascii="宋体" w:eastAsia="宋体"/>
        <w:kern w:val="0"/>
        <w:sz w:val="28"/>
        <w:szCs w:val="28"/>
      </w:rPr>
      <w:t xml:space="preserve"> </w:t>
    </w:r>
    <w:r>
      <w:rPr>
        <w:rFonts w:hint="eastAsia" w:ascii="宋体" w:eastAsia="宋体"/>
        <w:kern w:val="0"/>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mN2VjM2YyYmI0YjdhODE3NmQyM2Y2MDZjYmUwMWMifQ=="/>
    <w:docVar w:name="KSO_WPS_MARK_KEY" w:val="b2f2dcde-40bb-4750-849e-2d0cf8f946cb"/>
  </w:docVars>
  <w:rsids>
    <w:rsidRoot w:val="00000000"/>
    <w:rsid w:val="00274A01"/>
    <w:rsid w:val="004B0D73"/>
    <w:rsid w:val="00870620"/>
    <w:rsid w:val="02B0455A"/>
    <w:rsid w:val="06FF01C2"/>
    <w:rsid w:val="09E87183"/>
    <w:rsid w:val="0D523741"/>
    <w:rsid w:val="118B6EEC"/>
    <w:rsid w:val="11C10E95"/>
    <w:rsid w:val="1FEB3581"/>
    <w:rsid w:val="230E4B2A"/>
    <w:rsid w:val="26DD2381"/>
    <w:rsid w:val="293D309F"/>
    <w:rsid w:val="323A4620"/>
    <w:rsid w:val="3B345984"/>
    <w:rsid w:val="435C3C0F"/>
    <w:rsid w:val="457E261E"/>
    <w:rsid w:val="462E5DF2"/>
    <w:rsid w:val="464949DA"/>
    <w:rsid w:val="48BA1BBF"/>
    <w:rsid w:val="49986B82"/>
    <w:rsid w:val="4A035E10"/>
    <w:rsid w:val="4F11211A"/>
    <w:rsid w:val="502E625A"/>
    <w:rsid w:val="512F6EC2"/>
    <w:rsid w:val="547E3ABC"/>
    <w:rsid w:val="5B1F1D55"/>
    <w:rsid w:val="5F3705DF"/>
    <w:rsid w:val="61355E2F"/>
    <w:rsid w:val="6B1271E1"/>
    <w:rsid w:val="6B3E7FD6"/>
    <w:rsid w:val="6FE56C72"/>
    <w:rsid w:val="720E0702"/>
    <w:rsid w:val="740C0C71"/>
    <w:rsid w:val="768361EC"/>
    <w:rsid w:val="79ED6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宋体" w:eastAsia="仿宋_GB2312" w:cs="宋体"/>
      <w:kern w:val="2"/>
      <w:sz w:val="32"/>
      <w:szCs w:val="3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1263</Words>
  <Characters>1301</Characters>
  <Lines>0</Lines>
  <Paragraphs>0</Paragraphs>
  <TotalTime>5</TotalTime>
  <ScaleCrop>false</ScaleCrop>
  <LinksUpToDate>false</LinksUpToDate>
  <CharactersWithSpaces>1417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2024-08-07T03:11:00Z</dcterms:created>
  <dc:creator>hp</dc:creator>
  <cp:lastModifiedBy>静待</cp:lastModifiedBy>
  <cp:lastPrinted>2024-08-15T07:39:52Z</cp:lastPrinted>
  <dcterms:modified xsi:type="dcterms:W3CDTF">2024-08-15T07:41:32Z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B2F8D93C70C44830A7B627B310759F6B_13</vt:lpwstr>
  </property>
</Properties>
</file>