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300"/>
        <w:jc w:val="center"/>
        <w:outlineLvl w:val="0"/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  <w:t>关于全区建筑市场建筑业资质专项排查整治行动的通报</w:t>
      </w:r>
    </w:p>
    <w:p/>
    <w:p>
      <w:pPr>
        <w:spacing w:line="560" w:lineRule="exact"/>
        <w:rPr>
          <w:rFonts w:hint="eastAsia" w:ascii="仿宋_GB2312" w:hAnsi="微软雅黑" w:eastAsia="仿宋_GB2312"/>
          <w:color w:val="40404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  <w:shd w:val="clear" w:color="auto" w:fill="FFFFFF"/>
        </w:rPr>
        <w:t>区属各建筑施工企业：</w:t>
      </w:r>
    </w:p>
    <w:p>
      <w:pPr>
        <w:spacing w:line="560" w:lineRule="exact"/>
        <w:ind w:firstLine="640" w:firstLineChars="200"/>
        <w:rPr>
          <w:rFonts w:hint="eastAsia"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  <w:shd w:val="clear" w:color="auto" w:fill="FFFFFF"/>
        </w:rPr>
        <w:t>为进一步遏制建筑市场违法违规行为，整顿规范建筑市场秩序，按照市住建局的部署要求，5月10日，区住建局组织开展了全区建筑市场建筑业资质专项排查整治行动，对全区施工总承包资质，专业分包资质企业进行资质动态核查。现将部分检查情况通报如下：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黑体" w:hAnsi="黑体" w:eastAsia="黑体"/>
          <w:color w:val="404040"/>
          <w:sz w:val="32"/>
          <w:szCs w:val="32"/>
        </w:rPr>
      </w:pPr>
      <w:r>
        <w:rPr>
          <w:rFonts w:hint="eastAsia" w:ascii="黑体" w:hAnsi="黑体" w:eastAsia="黑体"/>
          <w:color w:val="404040"/>
          <w:sz w:val="32"/>
          <w:szCs w:val="32"/>
        </w:rPr>
        <w:t>一、检查情况。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</w:rPr>
        <w:t>全市共有预拌混凝土专业承包资质（不分等级）企业14家，截至5月30日，累计核查企业14家，自行注销资质企业2家，未在规定时间内提交核查资料1家。经核查，14家企业中，11家企业符合资质标准，2家企业不符合资质标准，1家未提交材料，共下达限期整改通知书3份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rPr>
          <w:rFonts w:hint="eastAsia"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</w:rPr>
        <w:t>其中：烟台宏瑞建材有限公司、烟台清泉建材有限公司主要人员未达到资质标准、技术装备未达到资质标准，烟台</w:t>
      </w:r>
      <w:r>
        <w:rPr>
          <w:rFonts w:hint="eastAsia" w:ascii="仿宋_GB2312" w:hAnsi="微软雅黑" w:eastAsia="仿宋_GB2312"/>
          <w:color w:val="404040"/>
          <w:sz w:val="32"/>
          <w:szCs w:val="32"/>
          <w:lang w:eastAsia="zh-CN"/>
        </w:rPr>
        <w:t>华森混凝土有限公司未向我局提供材料</w:t>
      </w:r>
      <w:r>
        <w:rPr>
          <w:rFonts w:hint="eastAsia" w:ascii="仿宋_GB2312" w:hAnsi="微软雅黑" w:eastAsia="仿宋_GB2312"/>
          <w:color w:val="404040"/>
          <w:sz w:val="32"/>
          <w:szCs w:val="32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黑体" w:hAnsi="黑体" w:eastAsia="黑体"/>
          <w:color w:val="404040"/>
          <w:sz w:val="32"/>
          <w:szCs w:val="32"/>
        </w:rPr>
      </w:pPr>
      <w:r>
        <w:rPr>
          <w:rFonts w:hint="eastAsia" w:ascii="黑体" w:hAnsi="黑体" w:eastAsia="黑体"/>
          <w:color w:val="404040"/>
          <w:sz w:val="32"/>
          <w:szCs w:val="32"/>
        </w:rPr>
        <w:t>二、处理意见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</w:rPr>
        <w:t>1.对经核查不符合资质要求的5家预拌混凝土企业，按照《建筑业企业资质管理规定》有关条款，责令其在90日内限期改正，并记录建筑市场不良信用信息。相关企业整改期间不得申请建筑业企业资质增项，不能承揽新的工程。逾期未完成整改的，将上报市住建局撤回相应建筑业企业资质证书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</w:rPr>
        <w:t>2.对未在规定时间提交资质核查材料的1家预拌混凝土企业，按照《建筑业企业资质管理规定》有关条款，责令其在30日内携带相关资料进行资质核查，并记录建筑市场不良信用信息。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黑体" w:hAnsi="黑体" w:eastAsia="黑体"/>
          <w:color w:val="404040"/>
          <w:sz w:val="32"/>
          <w:szCs w:val="32"/>
        </w:rPr>
      </w:pPr>
      <w:r>
        <w:rPr>
          <w:rFonts w:hint="eastAsia" w:ascii="黑体" w:hAnsi="黑体" w:eastAsia="黑体"/>
          <w:color w:val="404040"/>
          <w:sz w:val="32"/>
          <w:szCs w:val="32"/>
        </w:rPr>
        <w:t>三、下步要求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</w:rPr>
        <w:t>1.对检查中发现的问题，各相关企业要认真抓好整改，切实整改到位。同时，加强企业人员管理，确保企业资质时刻满足资质管理规定。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</w:rPr>
        <w:t>2.工程建设领域各行业监管部门要加强所属行业建设工程的监督管理，企业未完成整改前，建设工程施工总承包单位不得与相关企业签订新的混凝土采购合同。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480"/>
        <w:jc w:val="both"/>
        <w:rPr>
          <w:rFonts w:hint="eastAsia" w:ascii="仿宋_GB2312" w:hAnsi="微软雅黑" w:eastAsia="仿宋_GB2312"/>
          <w:color w:val="404040"/>
          <w:sz w:val="32"/>
          <w:szCs w:val="32"/>
        </w:rPr>
      </w:pPr>
      <w:r>
        <w:rPr>
          <w:rFonts w:hint="eastAsia" w:ascii="仿宋_GB2312" w:hAnsi="微软雅黑" w:eastAsia="仿宋_GB2312"/>
          <w:color w:val="404040"/>
          <w:sz w:val="32"/>
          <w:szCs w:val="32"/>
        </w:rPr>
        <w:t>3. 限期整改的企业，整改完毕后应及时向我局申报复核，经复核达到资质标准要求的，上报市住建局予以解除限制。整改完毕符合资质要求的企业，可正常开展业务。</w:t>
      </w:r>
    </w:p>
    <w:p>
      <w:pPr>
        <w:spacing w:line="560" w:lineRule="exact"/>
        <w:ind w:firstLine="640" w:firstLineChars="200"/>
        <w:rPr>
          <w:rFonts w:hint="eastAsia" w:ascii="仿宋_GB2312" w:hAnsi="微软雅黑" w:eastAsia="仿宋_GB2312"/>
          <w:color w:val="404040"/>
          <w:sz w:val="32"/>
          <w:szCs w:val="32"/>
          <w:shd w:val="clear" w:color="auto" w:fill="FFFFFF"/>
        </w:rPr>
      </w:pPr>
    </w:p>
    <w:p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烟台市莱山区住房和城乡建设局</w:t>
      </w:r>
    </w:p>
    <w:p>
      <w:pPr>
        <w:spacing w:line="560" w:lineRule="exact"/>
        <w:ind w:right="96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ind w:right="960"/>
        <w:jc w:val="left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right="960"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960"/>
        <w:jc w:val="lef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C81E1D-75D2-4A72-8246-06C2624536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B9C3558-9729-4CEB-9D6A-DD5317A3AA3A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AC5D40F-1DDF-4A82-80D4-27E9BEBF2D8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A0A4822A-0166-4492-AD8D-24D1A3C29D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D90A840-9219-4775-BAEF-2E49AA803C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iMzM0ZjViMzkxMzYxYWNiOWNlODZhNzM3MDhkNjgifQ=="/>
  </w:docVars>
  <w:rsids>
    <w:rsidRoot w:val="00000000"/>
    <w:rsid w:val="63A4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autoRedefine/>
    <w:qFormat/>
    <w:uiPriority w:val="99"/>
    <w:pPr>
      <w:ind w:left="100" w:leftChars="2500"/>
    </w:p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日期 字符"/>
    <w:basedOn w:val="7"/>
    <w:link w:val="3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793</Words>
  <Characters>809</Characters>
  <Paragraphs>20</Paragraphs>
  <TotalTime>49</TotalTime>
  <ScaleCrop>false</ScaleCrop>
  <LinksUpToDate>false</LinksUpToDate>
  <CharactersWithSpaces>810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2023-12-18T07:39:00Z</dcterms:created>
  <dc:creator>子文 武</dc:creator>
  <cp:lastModifiedBy>scp1079</cp:lastModifiedBy>
  <dcterms:modified xsi:type="dcterms:W3CDTF">2023-12-19T01:43:05Z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B04C6A69251B4CF7ADED28307D071A41_13</vt:lpwstr>
  </property>
  <property fmtid="{D5CDD505-2E9C-101B-9397-08002B2CF9AE}" pid="3" name="KSOProductBuildVer">
    <vt:lpwstr>2052-12.1.0.16120</vt:lpwstr>
  </property>
</Properties>
</file>