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EC74C">
      <w:pPr>
        <w:rPr>
          <w:rFonts w:hint="eastAsia"/>
          <w:b/>
          <w:bCs/>
          <w:sz w:val="44"/>
          <w:szCs w:val="44"/>
        </w:rPr>
      </w:pPr>
    </w:p>
    <w:p w14:paraId="67EBCA0C">
      <w:pPr>
        <w:ind w:firstLine="442" w:firstLineChars="100"/>
        <w:rPr>
          <w:b/>
          <w:bCs/>
          <w:sz w:val="44"/>
          <w:szCs w:val="44"/>
        </w:rPr>
      </w:pPr>
    </w:p>
    <w:p w14:paraId="0B940E02">
      <w:pPr>
        <w:ind w:firstLine="442" w:firstLineChars="100"/>
        <w:rPr>
          <w:b/>
          <w:bCs/>
          <w:sz w:val="44"/>
          <w:szCs w:val="44"/>
        </w:rPr>
      </w:pPr>
    </w:p>
    <w:p w14:paraId="7045EB5C">
      <w:pPr>
        <w:ind w:firstLine="442" w:firstLineChars="100"/>
        <w:rPr>
          <w:b/>
          <w:bCs/>
          <w:sz w:val="44"/>
          <w:szCs w:val="44"/>
        </w:rPr>
      </w:pPr>
    </w:p>
    <w:p w14:paraId="6763F431">
      <w:pPr>
        <w:spacing w:line="360" w:lineRule="auto"/>
        <w:ind w:firstLine="482" w:firstLineChars="100"/>
        <w:jc w:val="center"/>
        <w:rPr>
          <w:rFonts w:ascii="黑体" w:hAnsi="黑体" w:eastAsia="黑体" w:cs="黑体"/>
          <w:b/>
          <w:bCs/>
          <w:sz w:val="48"/>
          <w:szCs w:val="48"/>
        </w:rPr>
      </w:pPr>
      <w:r>
        <w:rPr>
          <w:rFonts w:hint="eastAsia" w:ascii="黑体" w:hAnsi="黑体" w:eastAsia="黑体" w:cs="黑体"/>
          <w:b/>
          <w:bCs/>
          <w:sz w:val="48"/>
          <w:szCs w:val="48"/>
        </w:rPr>
        <w:t>烟台市莱山区</w:t>
      </w:r>
      <w:r>
        <w:rPr>
          <w:rFonts w:hint="eastAsia" w:ascii="黑体" w:hAnsi="黑体" w:eastAsia="黑体" w:cs="黑体"/>
          <w:b/>
          <w:bCs/>
          <w:sz w:val="48"/>
          <w:szCs w:val="48"/>
          <w:lang w:val="en-GB"/>
        </w:rPr>
        <w:t>2019—2030</w:t>
      </w:r>
      <w:r>
        <w:rPr>
          <w:rFonts w:hint="eastAsia" w:ascii="黑体" w:hAnsi="黑体" w:eastAsia="黑体" w:cs="黑体"/>
          <w:b/>
          <w:bCs/>
          <w:sz w:val="48"/>
          <w:szCs w:val="48"/>
        </w:rPr>
        <w:t>年</w:t>
      </w:r>
    </w:p>
    <w:p w14:paraId="16D3265E">
      <w:pPr>
        <w:spacing w:line="360" w:lineRule="auto"/>
        <w:ind w:firstLine="482" w:firstLineChars="100"/>
        <w:jc w:val="center"/>
        <w:rPr>
          <w:rFonts w:ascii="黑体" w:hAnsi="黑体" w:eastAsia="黑体" w:cs="黑体"/>
          <w:b/>
          <w:bCs/>
          <w:sz w:val="48"/>
          <w:szCs w:val="48"/>
        </w:rPr>
      </w:pPr>
      <w:r>
        <w:rPr>
          <w:rFonts w:hint="eastAsia" w:ascii="黑体" w:hAnsi="黑体" w:eastAsia="黑体" w:cs="黑体"/>
          <w:b/>
          <w:bCs/>
          <w:sz w:val="48"/>
          <w:szCs w:val="48"/>
        </w:rPr>
        <w:t>幼儿园布局规划</w:t>
      </w:r>
    </w:p>
    <w:p w14:paraId="740225BC">
      <w:pPr>
        <w:spacing w:line="360" w:lineRule="auto"/>
        <w:ind w:firstLine="482" w:firstLineChars="100"/>
        <w:jc w:val="center"/>
        <w:rPr>
          <w:rFonts w:ascii="黑体" w:hAnsi="黑体" w:eastAsia="黑体" w:cs="黑体"/>
          <w:b/>
          <w:bCs/>
          <w:sz w:val="48"/>
          <w:szCs w:val="48"/>
        </w:rPr>
      </w:pPr>
    </w:p>
    <w:p w14:paraId="37DC9273">
      <w:pPr>
        <w:spacing w:line="360" w:lineRule="auto"/>
        <w:ind w:firstLine="482" w:firstLineChars="100"/>
        <w:jc w:val="center"/>
        <w:rPr>
          <w:rFonts w:ascii="黑体" w:hAnsi="黑体" w:eastAsia="黑体" w:cs="黑体"/>
          <w:b/>
          <w:bCs/>
          <w:sz w:val="48"/>
          <w:szCs w:val="48"/>
        </w:rPr>
      </w:pPr>
      <w:r>
        <w:rPr>
          <w:rFonts w:hint="eastAsia" w:ascii="黑体" w:hAnsi="黑体" w:eastAsia="黑体" w:cs="黑体"/>
          <w:b/>
          <w:bCs/>
          <w:sz w:val="48"/>
          <w:szCs w:val="48"/>
        </w:rPr>
        <w:t>风险评估报告（幼儿园）</w:t>
      </w:r>
    </w:p>
    <w:p w14:paraId="3C769840">
      <w:pPr>
        <w:ind w:firstLine="442" w:firstLineChars="100"/>
        <w:jc w:val="center"/>
        <w:rPr>
          <w:b/>
          <w:bCs/>
          <w:sz w:val="44"/>
          <w:szCs w:val="44"/>
        </w:rPr>
      </w:pPr>
    </w:p>
    <w:p w14:paraId="51B563C2">
      <w:pPr>
        <w:ind w:firstLine="442" w:firstLineChars="100"/>
        <w:jc w:val="center"/>
        <w:rPr>
          <w:b/>
          <w:bCs/>
          <w:sz w:val="44"/>
          <w:szCs w:val="44"/>
        </w:rPr>
      </w:pPr>
    </w:p>
    <w:p w14:paraId="5D67601B">
      <w:pPr>
        <w:ind w:firstLine="442" w:firstLineChars="100"/>
        <w:jc w:val="center"/>
        <w:rPr>
          <w:b/>
          <w:bCs/>
          <w:sz w:val="44"/>
          <w:szCs w:val="44"/>
        </w:rPr>
      </w:pPr>
    </w:p>
    <w:p w14:paraId="36D4DAB4">
      <w:pPr>
        <w:ind w:firstLine="442" w:firstLineChars="100"/>
        <w:jc w:val="center"/>
        <w:rPr>
          <w:b/>
          <w:bCs/>
          <w:sz w:val="44"/>
          <w:szCs w:val="44"/>
        </w:rPr>
      </w:pPr>
    </w:p>
    <w:p w14:paraId="39049EF4">
      <w:pPr>
        <w:ind w:firstLine="442" w:firstLineChars="100"/>
        <w:jc w:val="center"/>
        <w:rPr>
          <w:b/>
          <w:bCs/>
          <w:sz w:val="44"/>
          <w:szCs w:val="44"/>
        </w:rPr>
      </w:pPr>
    </w:p>
    <w:p w14:paraId="54C302AC">
      <w:pPr>
        <w:ind w:firstLine="442" w:firstLineChars="100"/>
        <w:jc w:val="center"/>
        <w:rPr>
          <w:b/>
          <w:bCs/>
          <w:sz w:val="44"/>
          <w:szCs w:val="44"/>
        </w:rPr>
      </w:pPr>
    </w:p>
    <w:p w14:paraId="3D513D83">
      <w:pPr>
        <w:ind w:firstLine="442" w:firstLineChars="100"/>
        <w:jc w:val="center"/>
        <w:rPr>
          <w:b/>
          <w:bCs/>
          <w:sz w:val="44"/>
          <w:szCs w:val="44"/>
        </w:rPr>
      </w:pPr>
    </w:p>
    <w:p w14:paraId="09B75776">
      <w:pPr>
        <w:ind w:firstLine="442" w:firstLineChars="100"/>
        <w:jc w:val="center"/>
        <w:rPr>
          <w:b/>
          <w:bCs/>
          <w:sz w:val="44"/>
          <w:szCs w:val="44"/>
        </w:rPr>
      </w:pPr>
    </w:p>
    <w:p w14:paraId="3E635018">
      <w:pPr>
        <w:ind w:firstLine="442" w:firstLineChars="100"/>
        <w:jc w:val="center"/>
        <w:rPr>
          <w:b/>
          <w:bCs/>
          <w:sz w:val="44"/>
          <w:szCs w:val="44"/>
        </w:rPr>
      </w:pPr>
    </w:p>
    <w:p w14:paraId="4ABEF859">
      <w:pPr>
        <w:ind w:firstLine="442" w:firstLineChars="100"/>
        <w:jc w:val="center"/>
        <w:rPr>
          <w:b/>
          <w:bCs/>
          <w:sz w:val="44"/>
          <w:szCs w:val="44"/>
        </w:rPr>
      </w:pPr>
    </w:p>
    <w:p w14:paraId="5361D4FD">
      <w:pPr>
        <w:ind w:firstLine="442" w:firstLineChars="100"/>
        <w:jc w:val="center"/>
        <w:rPr>
          <w:rFonts w:ascii="黑体" w:hAnsi="黑体" w:eastAsia="黑体" w:cs="黑体"/>
          <w:b/>
          <w:bCs/>
          <w:sz w:val="44"/>
          <w:szCs w:val="44"/>
        </w:rPr>
      </w:pPr>
    </w:p>
    <w:p w14:paraId="485461F5">
      <w:pPr>
        <w:ind w:firstLine="321" w:firstLineChars="100"/>
        <w:jc w:val="center"/>
        <w:rPr>
          <w:rFonts w:ascii="黑体" w:hAnsi="黑体" w:eastAsia="黑体" w:cs="黑体"/>
          <w:b/>
          <w:bCs/>
          <w:sz w:val="32"/>
          <w:szCs w:val="32"/>
        </w:rPr>
      </w:pPr>
      <w:r>
        <w:rPr>
          <w:rFonts w:hint="eastAsia" w:ascii="黑体" w:hAnsi="黑体" w:eastAsia="黑体" w:cs="黑体"/>
          <w:b/>
          <w:bCs/>
          <w:sz w:val="32"/>
          <w:szCs w:val="32"/>
          <w:lang w:val="en-US" w:eastAsia="zh-CN"/>
        </w:rPr>
        <w:t>烟台市莱山区教育和体育局</w:t>
      </w:r>
    </w:p>
    <w:p w14:paraId="721F49C8">
      <w:pPr>
        <w:ind w:firstLine="321" w:firstLineChars="100"/>
        <w:jc w:val="center"/>
        <w:rPr>
          <w:rFonts w:hint="default" w:ascii="黑体" w:hAnsi="黑体" w:eastAsia="黑体" w:cs="黑体"/>
          <w:b/>
          <w:bCs/>
          <w:sz w:val="32"/>
          <w:szCs w:val="32"/>
          <w:lang w:val="en-US" w:eastAsia="zh-CN"/>
        </w:rPr>
      </w:pPr>
      <w:r>
        <w:rPr>
          <w:rFonts w:hint="eastAsia" w:ascii="黑体" w:hAnsi="黑体" w:eastAsia="黑体" w:cs="黑体"/>
          <w:b/>
          <w:bCs/>
          <w:sz w:val="32"/>
          <w:szCs w:val="32"/>
          <w:lang w:val="en-US" w:eastAsia="zh-CN"/>
        </w:rPr>
        <w:t>二零二四年十一月</w:t>
      </w:r>
    </w:p>
    <w:p w14:paraId="1548616A">
      <w:bookmarkStart w:id="0" w:name="_GoBack"/>
      <w:bookmarkEnd w:id="0"/>
    </w:p>
    <w:p w14:paraId="795511E4"/>
    <w:p w14:paraId="13B2F844">
      <w:pPr>
        <w:spacing w:line="560" w:lineRule="exact"/>
        <w:ind w:firstLine="560" w:firstLineChars="200"/>
        <w:rPr>
          <w:rFonts w:hAnsi="宋体"/>
          <w:sz w:val="28"/>
          <w:szCs w:val="28"/>
        </w:rPr>
        <w:sectPr>
          <w:pgSz w:w="11906" w:h="16838"/>
          <w:pgMar w:top="1440" w:right="1800" w:bottom="1440" w:left="1800" w:header="851" w:footer="992" w:gutter="0"/>
          <w:pgNumType w:start="1"/>
          <w:cols w:space="425" w:num="1"/>
          <w:docGrid w:type="lines" w:linePitch="312" w:charSpace="0"/>
        </w:sectPr>
      </w:pPr>
    </w:p>
    <w:p w14:paraId="30046373">
      <w:pPr>
        <w:spacing w:line="560" w:lineRule="exact"/>
        <w:ind w:firstLine="560" w:firstLineChars="200"/>
        <w:rPr>
          <w:rFonts w:hAnsi="宋体"/>
          <w:sz w:val="28"/>
          <w:szCs w:val="28"/>
        </w:rPr>
      </w:pPr>
      <w:r>
        <w:rPr>
          <w:rFonts w:hint="eastAsia"/>
          <w:sz w:val="28"/>
          <w:szCs w:val="28"/>
          <w:lang w:val="en-GB"/>
        </w:rPr>
        <w:t>根据党的十九大精神 “建设教育强国是中华民族伟大复兴的基础工程”</w:t>
      </w:r>
      <w:r>
        <w:rPr>
          <w:rFonts w:hint="eastAsia" w:hAnsi="宋体"/>
          <w:sz w:val="28"/>
          <w:szCs w:val="28"/>
        </w:rPr>
        <w:t xml:space="preserve"> 、《国务院办公厅关于规范农村义务教育学校布局调整的意见》、《山东省人民政府办公厅关于加快学前教育改革发展的意见》等的要求，为了解決学前教育“入园难、入园贵”、义务教育“乡村弱、城镇挤”等问题，不断优化教育资源配置，提高教育基本公共服外能力和水平，莱山区教育和体育局主持编制了《烟台市莱山区</w:t>
      </w:r>
      <w:r>
        <w:rPr>
          <w:rFonts w:hint="eastAsia" w:hAnsi="宋体"/>
          <w:sz w:val="28"/>
          <w:szCs w:val="28"/>
          <w:lang w:val="en-US" w:eastAsia="zh-CN"/>
        </w:rPr>
        <w:t>2024</w:t>
      </w:r>
      <w:r>
        <w:rPr>
          <w:rFonts w:hint="eastAsia" w:hAnsi="宋体"/>
          <w:sz w:val="28"/>
          <w:szCs w:val="28"/>
        </w:rPr>
        <w:t>—203</w:t>
      </w:r>
      <w:r>
        <w:rPr>
          <w:rFonts w:hint="eastAsia" w:hAnsi="宋体"/>
          <w:sz w:val="28"/>
          <w:szCs w:val="28"/>
          <w:lang w:val="en-US" w:eastAsia="zh-CN"/>
        </w:rPr>
        <w:t>5</w:t>
      </w:r>
      <w:r>
        <w:rPr>
          <w:rFonts w:hint="eastAsia" w:hAnsi="宋体"/>
          <w:sz w:val="28"/>
          <w:szCs w:val="28"/>
        </w:rPr>
        <w:t>年中小学及幼儿园布局规划》。</w:t>
      </w:r>
    </w:p>
    <w:p w14:paraId="6D4C481E">
      <w:pPr>
        <w:spacing w:line="560" w:lineRule="exact"/>
        <w:ind w:firstLine="560" w:firstLineChars="200"/>
        <w:rPr>
          <w:rFonts w:hAnsi="宋体"/>
          <w:sz w:val="28"/>
          <w:szCs w:val="28"/>
        </w:rPr>
      </w:pPr>
      <w:r>
        <w:rPr>
          <w:rFonts w:hint="eastAsia" w:hAnsi="宋体"/>
          <w:sz w:val="28"/>
          <w:szCs w:val="28"/>
        </w:rPr>
        <w:t>按照《重大行政决策暂行条例》（国务院令第713号）要求，烟台市政府办公室下发了《关于启动2019年市级重大行政决策事项的通知》，着重将决定对经济社会发展有重大影响、涉及重大公共利益或者社会公众切身利益的其他重大事项纳入市级重大行政决策事项范围。此次《烟台市莱山区20</w:t>
      </w:r>
      <w:r>
        <w:rPr>
          <w:rFonts w:hint="eastAsia" w:hAnsi="宋体"/>
          <w:sz w:val="28"/>
          <w:szCs w:val="28"/>
          <w:lang w:val="en-US" w:eastAsia="zh-CN"/>
        </w:rPr>
        <w:t>24</w:t>
      </w:r>
      <w:r>
        <w:rPr>
          <w:rFonts w:hint="eastAsia" w:hAnsi="宋体"/>
          <w:sz w:val="28"/>
          <w:szCs w:val="28"/>
        </w:rPr>
        <w:t>—203</w:t>
      </w:r>
      <w:r>
        <w:rPr>
          <w:rFonts w:hint="eastAsia" w:hAnsi="宋体"/>
          <w:sz w:val="28"/>
          <w:szCs w:val="28"/>
          <w:lang w:val="en-US" w:eastAsia="zh-CN"/>
        </w:rPr>
        <w:t>5</w:t>
      </w:r>
      <w:r>
        <w:rPr>
          <w:rFonts w:hint="eastAsia" w:hAnsi="宋体"/>
          <w:sz w:val="28"/>
          <w:szCs w:val="28"/>
        </w:rPr>
        <w:t>年幼儿园布局规划》（以下简称《规划》）属于重大决策范畴，应单独进行风险评估。</w:t>
      </w:r>
    </w:p>
    <w:p w14:paraId="6F014DEC">
      <w:pPr>
        <w:spacing w:line="560" w:lineRule="exact"/>
        <w:ind w:firstLine="560" w:firstLineChars="200"/>
        <w:rPr>
          <w:rFonts w:hAnsi="宋体"/>
          <w:sz w:val="28"/>
          <w:szCs w:val="28"/>
        </w:rPr>
      </w:pPr>
      <w:r>
        <w:rPr>
          <w:rFonts w:hint="eastAsia" w:hAnsi="宋体"/>
          <w:sz w:val="28"/>
          <w:szCs w:val="28"/>
        </w:rPr>
        <w:t>通过对《规划》决策的合法性、合理性、可行性、公平性、安全可控性和决策执行力等进行的风险识别及分析，查找并列出风险点、风险发生的概率及影响程度，从而确定此次重大决策的社会稳定风险等级。</w:t>
      </w:r>
    </w:p>
    <w:p w14:paraId="21FF574D">
      <w:pPr>
        <w:spacing w:line="560" w:lineRule="exact"/>
        <w:ind w:firstLine="562" w:firstLineChars="200"/>
        <w:rPr>
          <w:rFonts w:hAnsi="宋体"/>
          <w:b/>
          <w:sz w:val="28"/>
          <w:szCs w:val="28"/>
        </w:rPr>
      </w:pPr>
      <w:r>
        <w:rPr>
          <w:rFonts w:hint="eastAsia" w:hAnsi="宋体"/>
          <w:b/>
          <w:sz w:val="28"/>
          <w:szCs w:val="28"/>
        </w:rPr>
        <w:t>（一）估计方法</w:t>
      </w:r>
    </w:p>
    <w:p w14:paraId="3CD4885D">
      <w:pPr>
        <w:spacing w:line="560" w:lineRule="exact"/>
        <w:ind w:firstLine="560" w:firstLineChars="200"/>
        <w:rPr>
          <w:rFonts w:hAnsi="宋体"/>
          <w:sz w:val="28"/>
          <w:szCs w:val="28"/>
        </w:rPr>
      </w:pPr>
      <w:r>
        <w:rPr>
          <w:rFonts w:hint="eastAsia" w:hAnsi="宋体"/>
          <w:sz w:val="28"/>
          <w:szCs w:val="28"/>
        </w:rPr>
        <w:t>在风险估计时采用定性分析和定量分析相结合的方法，逐一从产生风险的原因、影响表现、风险分布、影响程度等维度对风险因素进行多维度的分析。分别从风险概率、风险的影响程度和风险程度三个方面进行考察。</w:t>
      </w:r>
    </w:p>
    <w:p w14:paraId="2131B4F5">
      <w:pPr>
        <w:spacing w:line="560" w:lineRule="exact"/>
        <w:ind w:firstLine="560" w:firstLineChars="200"/>
        <w:rPr>
          <w:rFonts w:hAnsi="宋体"/>
          <w:sz w:val="28"/>
          <w:szCs w:val="28"/>
        </w:rPr>
      </w:pPr>
      <w:r>
        <w:rPr>
          <w:rFonts w:hint="eastAsia" w:hAnsi="宋体"/>
          <w:sz w:val="28"/>
          <w:szCs w:val="28"/>
        </w:rPr>
        <w:t>风险概率是指风险事件转化为社会稳定风险事件的可能性。按照风险因素发生的可能性，将风险概率划分为很高、较高、中等、较低、很低五个等级，各个等级划分依据（见表-1）。风险的影响程度是指风险因素影响时间、影响规模、群众承受能力等综合情况。对于单个风险因素的风险程度按照严重、较大、一般、较小、微小五个等级，各个等级的划分依据（见表-2）。风险程度为风险概率和风向影响程度的乘积。将单个风险因素的风险程度划分为重大、较大、一般、较小和微小五个等级。（见表-3）</w:t>
      </w:r>
    </w:p>
    <w:p w14:paraId="31776015">
      <w:pPr>
        <w:spacing w:line="360" w:lineRule="auto"/>
        <w:jc w:val="center"/>
      </w:pPr>
    </w:p>
    <w:p w14:paraId="3492AC45">
      <w:pPr>
        <w:spacing w:line="360" w:lineRule="auto"/>
        <w:jc w:val="center"/>
      </w:pPr>
      <w:r>
        <w:t>表-1  风险概率划分等级表</w:t>
      </w:r>
    </w:p>
    <w:tbl>
      <w:tblPr>
        <w:tblStyle w:val="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6643"/>
        <w:gridCol w:w="941"/>
      </w:tblGrid>
      <w:tr w14:paraId="5DF6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Align w:val="center"/>
          </w:tcPr>
          <w:p w14:paraId="48936B27">
            <w:pPr>
              <w:spacing w:line="360" w:lineRule="auto"/>
              <w:jc w:val="center"/>
            </w:pPr>
            <w:r>
              <w:t>等级</w:t>
            </w:r>
          </w:p>
        </w:tc>
        <w:tc>
          <w:tcPr>
            <w:tcW w:w="6643" w:type="dxa"/>
            <w:vAlign w:val="center"/>
          </w:tcPr>
          <w:p w14:paraId="41C5B91A">
            <w:pPr>
              <w:spacing w:line="360" w:lineRule="auto"/>
              <w:jc w:val="center"/>
            </w:pPr>
            <w:r>
              <w:t>参考依据</w:t>
            </w:r>
          </w:p>
        </w:tc>
        <w:tc>
          <w:tcPr>
            <w:tcW w:w="941" w:type="dxa"/>
            <w:vAlign w:val="center"/>
          </w:tcPr>
          <w:p w14:paraId="65F1271D">
            <w:pPr>
              <w:spacing w:line="360" w:lineRule="auto"/>
              <w:jc w:val="center"/>
            </w:pPr>
            <w:r>
              <w:t>表示</w:t>
            </w:r>
          </w:p>
        </w:tc>
      </w:tr>
      <w:tr w14:paraId="2638C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Align w:val="center"/>
          </w:tcPr>
          <w:p w14:paraId="0A03D13C">
            <w:pPr>
              <w:spacing w:line="360" w:lineRule="auto"/>
              <w:jc w:val="center"/>
            </w:pPr>
            <w:r>
              <w:t>很高</w:t>
            </w:r>
          </w:p>
        </w:tc>
        <w:tc>
          <w:tcPr>
            <w:tcW w:w="6643" w:type="dxa"/>
            <w:vAlign w:val="center"/>
          </w:tcPr>
          <w:p w14:paraId="68A7C2DA">
            <w:pPr>
              <w:spacing w:line="360" w:lineRule="auto"/>
              <w:jc w:val="center"/>
            </w:pPr>
            <w:r>
              <w:t>几乎确定（约0.8～1）</w:t>
            </w:r>
          </w:p>
        </w:tc>
        <w:tc>
          <w:tcPr>
            <w:tcW w:w="941" w:type="dxa"/>
            <w:vAlign w:val="center"/>
          </w:tcPr>
          <w:p w14:paraId="6343DCC3">
            <w:pPr>
              <w:spacing w:line="360" w:lineRule="auto"/>
              <w:jc w:val="center"/>
            </w:pPr>
            <w:r>
              <w:t>S</w:t>
            </w:r>
          </w:p>
        </w:tc>
      </w:tr>
      <w:tr w14:paraId="4035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Align w:val="center"/>
          </w:tcPr>
          <w:p w14:paraId="477A905E">
            <w:pPr>
              <w:spacing w:line="360" w:lineRule="auto"/>
              <w:jc w:val="center"/>
            </w:pPr>
            <w:r>
              <w:t>较高</w:t>
            </w:r>
          </w:p>
        </w:tc>
        <w:tc>
          <w:tcPr>
            <w:tcW w:w="6643" w:type="dxa"/>
            <w:vAlign w:val="center"/>
          </w:tcPr>
          <w:p w14:paraId="008733AF">
            <w:pPr>
              <w:spacing w:line="360" w:lineRule="auto"/>
              <w:jc w:val="center"/>
            </w:pPr>
            <w:r>
              <w:t>很可能发生（约0.6～0.8）</w:t>
            </w:r>
          </w:p>
        </w:tc>
        <w:tc>
          <w:tcPr>
            <w:tcW w:w="941" w:type="dxa"/>
            <w:vAlign w:val="center"/>
          </w:tcPr>
          <w:p w14:paraId="5390208E">
            <w:pPr>
              <w:spacing w:line="360" w:lineRule="auto"/>
              <w:jc w:val="center"/>
            </w:pPr>
            <w:r>
              <w:t>H</w:t>
            </w:r>
          </w:p>
        </w:tc>
      </w:tr>
      <w:tr w14:paraId="3623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Align w:val="center"/>
          </w:tcPr>
          <w:p w14:paraId="13BF3D2B">
            <w:pPr>
              <w:spacing w:line="360" w:lineRule="auto"/>
              <w:jc w:val="center"/>
            </w:pPr>
            <w:r>
              <w:t>中等</w:t>
            </w:r>
          </w:p>
        </w:tc>
        <w:tc>
          <w:tcPr>
            <w:tcW w:w="6643" w:type="dxa"/>
            <w:vAlign w:val="center"/>
          </w:tcPr>
          <w:p w14:paraId="39ABAE32">
            <w:pPr>
              <w:spacing w:line="360" w:lineRule="auto"/>
              <w:jc w:val="center"/>
            </w:pPr>
            <w:r>
              <w:t>有可能发生（约0.4～0.6）</w:t>
            </w:r>
          </w:p>
        </w:tc>
        <w:tc>
          <w:tcPr>
            <w:tcW w:w="941" w:type="dxa"/>
            <w:vAlign w:val="center"/>
          </w:tcPr>
          <w:p w14:paraId="05496214">
            <w:pPr>
              <w:spacing w:line="360" w:lineRule="auto"/>
              <w:jc w:val="center"/>
            </w:pPr>
            <w:r>
              <w:t>M</w:t>
            </w:r>
          </w:p>
        </w:tc>
      </w:tr>
      <w:tr w14:paraId="19384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Align w:val="center"/>
          </w:tcPr>
          <w:p w14:paraId="24EEDC39">
            <w:pPr>
              <w:spacing w:line="360" w:lineRule="auto"/>
              <w:jc w:val="center"/>
            </w:pPr>
            <w:r>
              <w:t>较低</w:t>
            </w:r>
          </w:p>
        </w:tc>
        <w:tc>
          <w:tcPr>
            <w:tcW w:w="6643" w:type="dxa"/>
            <w:vAlign w:val="center"/>
          </w:tcPr>
          <w:p w14:paraId="54EA2C93">
            <w:pPr>
              <w:spacing w:line="360" w:lineRule="auto"/>
              <w:jc w:val="center"/>
            </w:pPr>
            <w:r>
              <w:t>发生的可能性很小（约0.2～0.4）</w:t>
            </w:r>
          </w:p>
        </w:tc>
        <w:tc>
          <w:tcPr>
            <w:tcW w:w="941" w:type="dxa"/>
            <w:vAlign w:val="center"/>
          </w:tcPr>
          <w:p w14:paraId="1CB37360">
            <w:pPr>
              <w:spacing w:line="360" w:lineRule="auto"/>
              <w:jc w:val="center"/>
            </w:pPr>
            <w:r>
              <w:t>L</w:t>
            </w:r>
          </w:p>
        </w:tc>
      </w:tr>
      <w:tr w14:paraId="016E6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Align w:val="center"/>
          </w:tcPr>
          <w:p w14:paraId="3FDAD67F">
            <w:pPr>
              <w:spacing w:line="360" w:lineRule="auto"/>
              <w:jc w:val="center"/>
            </w:pPr>
            <w:r>
              <w:t>很低</w:t>
            </w:r>
          </w:p>
        </w:tc>
        <w:tc>
          <w:tcPr>
            <w:tcW w:w="6643" w:type="dxa"/>
            <w:vAlign w:val="center"/>
          </w:tcPr>
          <w:p w14:paraId="0FAF252F">
            <w:pPr>
              <w:spacing w:line="360" w:lineRule="auto"/>
              <w:jc w:val="center"/>
            </w:pPr>
            <w:r>
              <w:t>发生的可能性很小，几乎不可能（约0~0.2）</w:t>
            </w:r>
          </w:p>
        </w:tc>
        <w:tc>
          <w:tcPr>
            <w:tcW w:w="941" w:type="dxa"/>
            <w:vAlign w:val="center"/>
          </w:tcPr>
          <w:p w14:paraId="07CDCB2A">
            <w:pPr>
              <w:spacing w:line="360" w:lineRule="auto"/>
              <w:jc w:val="center"/>
            </w:pPr>
            <w:r>
              <w:t>N</w:t>
            </w:r>
          </w:p>
        </w:tc>
      </w:tr>
    </w:tbl>
    <w:p w14:paraId="1C92E1CC">
      <w:pPr>
        <w:spacing w:line="360" w:lineRule="auto"/>
        <w:jc w:val="center"/>
        <w:rPr>
          <w:rFonts w:ascii="宋体" w:hAnsi="宋体"/>
          <w:sz w:val="24"/>
        </w:rPr>
      </w:pPr>
    </w:p>
    <w:p w14:paraId="71D83781">
      <w:pPr>
        <w:spacing w:line="360" w:lineRule="auto"/>
        <w:jc w:val="center"/>
      </w:pPr>
      <w:r>
        <w:rPr>
          <w:rFonts w:hAnsi="宋体"/>
        </w:rPr>
        <w:t>表</w:t>
      </w:r>
      <w:r>
        <w:t xml:space="preserve">-2  </w:t>
      </w:r>
      <w:r>
        <w:rPr>
          <w:rFonts w:hAnsi="宋体"/>
        </w:rPr>
        <w:t>风险影响程度划分等级表</w:t>
      </w:r>
    </w:p>
    <w:tbl>
      <w:tblPr>
        <w:tblStyle w:val="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6840"/>
        <w:gridCol w:w="860"/>
      </w:tblGrid>
      <w:tr w14:paraId="73F89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78CDE9CC">
            <w:pPr>
              <w:spacing w:line="360" w:lineRule="auto"/>
              <w:jc w:val="center"/>
            </w:pPr>
            <w:r>
              <w:rPr>
                <w:rFonts w:hAnsi="宋体"/>
              </w:rPr>
              <w:t>等级</w:t>
            </w:r>
          </w:p>
        </w:tc>
        <w:tc>
          <w:tcPr>
            <w:tcW w:w="6840" w:type="dxa"/>
            <w:vAlign w:val="center"/>
          </w:tcPr>
          <w:p w14:paraId="43C436A8">
            <w:pPr>
              <w:spacing w:line="360" w:lineRule="auto"/>
              <w:jc w:val="center"/>
            </w:pPr>
            <w:r>
              <w:rPr>
                <w:rFonts w:hAnsi="宋体"/>
              </w:rPr>
              <w:t>参考依据</w:t>
            </w:r>
          </w:p>
        </w:tc>
        <w:tc>
          <w:tcPr>
            <w:tcW w:w="860" w:type="dxa"/>
            <w:vAlign w:val="center"/>
          </w:tcPr>
          <w:p w14:paraId="25FD94F6">
            <w:pPr>
              <w:spacing w:line="360" w:lineRule="auto"/>
              <w:jc w:val="center"/>
            </w:pPr>
            <w:r>
              <w:rPr>
                <w:rFonts w:hAnsi="宋体"/>
              </w:rPr>
              <w:t>表示</w:t>
            </w:r>
          </w:p>
        </w:tc>
      </w:tr>
      <w:tr w14:paraId="278B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4B39856E">
            <w:pPr>
              <w:spacing w:line="360" w:lineRule="auto"/>
              <w:jc w:val="center"/>
            </w:pPr>
            <w:r>
              <w:rPr>
                <w:rFonts w:hAnsi="宋体"/>
              </w:rPr>
              <w:t>重</w:t>
            </w:r>
            <w:r>
              <w:rPr>
                <w:rFonts w:hint="eastAsia" w:hAnsi="宋体"/>
              </w:rPr>
              <w:t>大</w:t>
            </w:r>
          </w:p>
        </w:tc>
        <w:tc>
          <w:tcPr>
            <w:tcW w:w="6840" w:type="dxa"/>
            <w:vAlign w:val="center"/>
          </w:tcPr>
          <w:p w14:paraId="4EC6A491">
            <w:pPr>
              <w:spacing w:line="360" w:lineRule="auto"/>
            </w:pPr>
            <w:r>
              <w:rPr>
                <w:rFonts w:hAnsi="宋体"/>
              </w:rPr>
              <w:t>关系到相关群体的基本权利、重大利益；风险影响的规模大、涉及人数众多；影响时间长；可能引起严重风险事件，造成极大负面影响。</w:t>
            </w:r>
          </w:p>
        </w:tc>
        <w:tc>
          <w:tcPr>
            <w:tcW w:w="860" w:type="dxa"/>
            <w:vAlign w:val="center"/>
          </w:tcPr>
          <w:p w14:paraId="463E582A">
            <w:pPr>
              <w:spacing w:line="360" w:lineRule="auto"/>
              <w:jc w:val="center"/>
            </w:pPr>
            <w:r>
              <w:t>S</w:t>
            </w:r>
          </w:p>
        </w:tc>
      </w:tr>
      <w:tr w14:paraId="5AD03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288DF820">
            <w:pPr>
              <w:spacing w:line="360" w:lineRule="auto"/>
              <w:jc w:val="center"/>
            </w:pPr>
            <w:r>
              <w:rPr>
                <w:rFonts w:hAnsi="宋体"/>
              </w:rPr>
              <w:t>较大</w:t>
            </w:r>
          </w:p>
        </w:tc>
        <w:tc>
          <w:tcPr>
            <w:tcW w:w="6840" w:type="dxa"/>
            <w:vAlign w:val="center"/>
          </w:tcPr>
          <w:p w14:paraId="73870CF8">
            <w:pPr>
              <w:spacing w:line="360" w:lineRule="auto"/>
            </w:pPr>
            <w:r>
              <w:rPr>
                <w:rFonts w:hAnsi="宋体"/>
              </w:rPr>
              <w:t>关系到相关群体的重要权利和利益；风险影响规模较大，涉及人数较多，影响时间较长；可能引发较大风险事件，造成较大负面影响。</w:t>
            </w:r>
          </w:p>
        </w:tc>
        <w:tc>
          <w:tcPr>
            <w:tcW w:w="860" w:type="dxa"/>
            <w:vAlign w:val="center"/>
          </w:tcPr>
          <w:p w14:paraId="5875A2A2">
            <w:pPr>
              <w:spacing w:line="360" w:lineRule="auto"/>
              <w:jc w:val="center"/>
            </w:pPr>
            <w:r>
              <w:t>H</w:t>
            </w:r>
          </w:p>
        </w:tc>
      </w:tr>
      <w:tr w14:paraId="7CA5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7C65DC8A">
            <w:pPr>
              <w:spacing w:line="360" w:lineRule="auto"/>
              <w:jc w:val="center"/>
            </w:pPr>
            <w:r>
              <w:rPr>
                <w:rFonts w:hAnsi="宋体"/>
              </w:rPr>
              <w:t>一般</w:t>
            </w:r>
          </w:p>
        </w:tc>
        <w:tc>
          <w:tcPr>
            <w:tcW w:w="6840" w:type="dxa"/>
            <w:vAlign w:val="center"/>
          </w:tcPr>
          <w:p w14:paraId="681EFF52">
            <w:pPr>
              <w:spacing w:line="360" w:lineRule="auto"/>
            </w:pPr>
            <w:r>
              <w:rPr>
                <w:rFonts w:hAnsi="宋体"/>
              </w:rPr>
              <w:t>对相关利益群体合法群益造成不利影响；风险影响规模中等，涉及一定数量；可能引发一般风险事件，在当地造成一定负面影响。</w:t>
            </w:r>
          </w:p>
        </w:tc>
        <w:tc>
          <w:tcPr>
            <w:tcW w:w="860" w:type="dxa"/>
            <w:vAlign w:val="center"/>
          </w:tcPr>
          <w:p w14:paraId="3DB5AB08">
            <w:pPr>
              <w:spacing w:line="360" w:lineRule="auto"/>
              <w:jc w:val="center"/>
            </w:pPr>
            <w:r>
              <w:t>M</w:t>
            </w:r>
          </w:p>
        </w:tc>
      </w:tr>
      <w:tr w14:paraId="5518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7D749CC4">
            <w:pPr>
              <w:spacing w:line="360" w:lineRule="auto"/>
              <w:jc w:val="center"/>
            </w:pPr>
            <w:r>
              <w:rPr>
                <w:rFonts w:hAnsi="宋体"/>
              </w:rPr>
              <w:t>较小</w:t>
            </w:r>
          </w:p>
        </w:tc>
        <w:tc>
          <w:tcPr>
            <w:tcW w:w="6840" w:type="dxa"/>
            <w:vAlign w:val="center"/>
          </w:tcPr>
          <w:p w14:paraId="046051E4">
            <w:pPr>
              <w:spacing w:line="360" w:lineRule="auto"/>
            </w:pPr>
            <w:r>
              <w:rPr>
                <w:rFonts w:hAnsi="宋体"/>
              </w:rPr>
              <w:t>风险影响规模较小，涉及人数较少，影响时间较短；可能零星引发一般风险事件，局部范围造成不利负面影响。</w:t>
            </w:r>
          </w:p>
        </w:tc>
        <w:tc>
          <w:tcPr>
            <w:tcW w:w="860" w:type="dxa"/>
            <w:vAlign w:val="center"/>
          </w:tcPr>
          <w:p w14:paraId="5EA2812E">
            <w:pPr>
              <w:spacing w:line="360" w:lineRule="auto"/>
              <w:jc w:val="center"/>
            </w:pPr>
            <w:r>
              <w:t>L</w:t>
            </w:r>
          </w:p>
        </w:tc>
      </w:tr>
      <w:tr w14:paraId="6E8A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2E574734">
            <w:pPr>
              <w:spacing w:line="360" w:lineRule="auto"/>
              <w:jc w:val="center"/>
            </w:pPr>
            <w:r>
              <w:rPr>
                <w:rFonts w:hAnsi="宋体"/>
              </w:rPr>
              <w:t>微小</w:t>
            </w:r>
          </w:p>
        </w:tc>
        <w:tc>
          <w:tcPr>
            <w:tcW w:w="6840" w:type="dxa"/>
            <w:vAlign w:val="center"/>
          </w:tcPr>
          <w:p w14:paraId="728B86A9">
            <w:pPr>
              <w:spacing w:line="360" w:lineRule="auto"/>
            </w:pPr>
            <w:r>
              <w:rPr>
                <w:rFonts w:hAnsi="宋体"/>
              </w:rPr>
              <w:t>风险影响规模有限，涉及个别利益相关者，可能引发个别矛盾，影响短时间可以消除。</w:t>
            </w:r>
          </w:p>
        </w:tc>
        <w:tc>
          <w:tcPr>
            <w:tcW w:w="860" w:type="dxa"/>
            <w:vAlign w:val="center"/>
          </w:tcPr>
          <w:p w14:paraId="1D01677A">
            <w:pPr>
              <w:spacing w:line="360" w:lineRule="auto"/>
              <w:jc w:val="center"/>
            </w:pPr>
            <w:r>
              <w:t>N</w:t>
            </w:r>
          </w:p>
        </w:tc>
      </w:tr>
    </w:tbl>
    <w:p w14:paraId="126C68F1">
      <w:pPr>
        <w:spacing w:line="360" w:lineRule="auto"/>
        <w:jc w:val="center"/>
      </w:pPr>
      <w:r>
        <w:rPr>
          <w:rFonts w:hAnsi="宋体"/>
        </w:rPr>
        <w:t>表</w:t>
      </w:r>
      <w:r>
        <w:t xml:space="preserve">-3  </w:t>
      </w:r>
      <w:r>
        <w:rPr>
          <w:rFonts w:hAnsi="宋体"/>
        </w:rPr>
        <w:t>风险程度划分等级表</w:t>
      </w:r>
    </w:p>
    <w:tbl>
      <w:tblPr>
        <w:tblStyle w:val="5"/>
        <w:tblW w:w="8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4660"/>
        <w:gridCol w:w="1825"/>
      </w:tblGrid>
      <w:tr w14:paraId="2F1E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Align w:val="center"/>
          </w:tcPr>
          <w:p w14:paraId="64698F32">
            <w:pPr>
              <w:spacing w:line="360" w:lineRule="auto"/>
              <w:jc w:val="center"/>
            </w:pPr>
            <w:r>
              <w:t>等级</w:t>
            </w:r>
          </w:p>
        </w:tc>
        <w:tc>
          <w:tcPr>
            <w:tcW w:w="4660" w:type="dxa"/>
            <w:vAlign w:val="center"/>
          </w:tcPr>
          <w:p w14:paraId="4C8FC717">
            <w:pPr>
              <w:spacing w:line="360" w:lineRule="auto"/>
              <w:jc w:val="center"/>
            </w:pPr>
            <w:r>
              <w:t>参考依据</w:t>
            </w:r>
          </w:p>
        </w:tc>
        <w:tc>
          <w:tcPr>
            <w:tcW w:w="1825" w:type="dxa"/>
            <w:vAlign w:val="center"/>
          </w:tcPr>
          <w:p w14:paraId="39441A5F">
            <w:pPr>
              <w:spacing w:line="360" w:lineRule="auto"/>
              <w:jc w:val="center"/>
            </w:pPr>
            <w:r>
              <w:t>表示</w:t>
            </w:r>
          </w:p>
        </w:tc>
      </w:tr>
      <w:tr w14:paraId="78F92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Align w:val="center"/>
          </w:tcPr>
          <w:p w14:paraId="46B2A869">
            <w:pPr>
              <w:spacing w:line="360" w:lineRule="auto"/>
              <w:jc w:val="center"/>
            </w:pPr>
            <w:r>
              <w:t>重</w:t>
            </w:r>
            <w:r>
              <w:rPr>
                <w:rFonts w:hint="eastAsia"/>
              </w:rPr>
              <w:t>大</w:t>
            </w:r>
          </w:p>
        </w:tc>
        <w:tc>
          <w:tcPr>
            <w:tcW w:w="4660" w:type="dxa"/>
            <w:vAlign w:val="center"/>
          </w:tcPr>
          <w:p w14:paraId="0950951B">
            <w:pPr>
              <w:spacing w:line="360" w:lineRule="auto"/>
              <w:jc w:val="center"/>
            </w:pPr>
            <w:r>
              <w:t>＞0.64</w:t>
            </w:r>
          </w:p>
        </w:tc>
        <w:tc>
          <w:tcPr>
            <w:tcW w:w="1825" w:type="dxa"/>
            <w:vAlign w:val="center"/>
          </w:tcPr>
          <w:p w14:paraId="6AD00EB0">
            <w:pPr>
              <w:spacing w:line="360" w:lineRule="auto"/>
              <w:jc w:val="center"/>
            </w:pPr>
            <w:r>
              <w:t>S</w:t>
            </w:r>
          </w:p>
        </w:tc>
      </w:tr>
      <w:tr w14:paraId="02A9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Align w:val="center"/>
          </w:tcPr>
          <w:p w14:paraId="33352F67">
            <w:pPr>
              <w:spacing w:line="360" w:lineRule="auto"/>
              <w:jc w:val="center"/>
            </w:pPr>
            <w:r>
              <w:t>较大</w:t>
            </w:r>
          </w:p>
        </w:tc>
        <w:tc>
          <w:tcPr>
            <w:tcW w:w="4660" w:type="dxa"/>
            <w:vAlign w:val="center"/>
          </w:tcPr>
          <w:p w14:paraId="64120703">
            <w:pPr>
              <w:spacing w:line="360" w:lineRule="auto"/>
              <w:jc w:val="center"/>
            </w:pPr>
            <w:r>
              <w:t>0.64≥R＞0.36</w:t>
            </w:r>
          </w:p>
        </w:tc>
        <w:tc>
          <w:tcPr>
            <w:tcW w:w="1825" w:type="dxa"/>
            <w:vAlign w:val="center"/>
          </w:tcPr>
          <w:p w14:paraId="6E251104">
            <w:pPr>
              <w:spacing w:line="360" w:lineRule="auto"/>
              <w:jc w:val="center"/>
            </w:pPr>
            <w:r>
              <w:t>H</w:t>
            </w:r>
          </w:p>
        </w:tc>
      </w:tr>
      <w:tr w14:paraId="48A6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Align w:val="center"/>
          </w:tcPr>
          <w:p w14:paraId="11612D2C">
            <w:pPr>
              <w:spacing w:line="360" w:lineRule="auto"/>
              <w:jc w:val="center"/>
            </w:pPr>
            <w:r>
              <w:t>一般</w:t>
            </w:r>
          </w:p>
        </w:tc>
        <w:tc>
          <w:tcPr>
            <w:tcW w:w="4660" w:type="dxa"/>
            <w:vAlign w:val="center"/>
          </w:tcPr>
          <w:p w14:paraId="758F8E79">
            <w:pPr>
              <w:spacing w:line="360" w:lineRule="auto"/>
              <w:jc w:val="center"/>
            </w:pPr>
            <w:r>
              <w:t>0.36≥R＞0.16</w:t>
            </w:r>
          </w:p>
        </w:tc>
        <w:tc>
          <w:tcPr>
            <w:tcW w:w="1825" w:type="dxa"/>
            <w:vAlign w:val="center"/>
          </w:tcPr>
          <w:p w14:paraId="005B7E8F">
            <w:pPr>
              <w:spacing w:line="360" w:lineRule="auto"/>
              <w:jc w:val="center"/>
            </w:pPr>
            <w:r>
              <w:t>M</w:t>
            </w:r>
          </w:p>
        </w:tc>
      </w:tr>
      <w:tr w14:paraId="3A6D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Align w:val="center"/>
          </w:tcPr>
          <w:p w14:paraId="0A097AC5">
            <w:pPr>
              <w:spacing w:line="360" w:lineRule="auto"/>
              <w:jc w:val="center"/>
            </w:pPr>
            <w:r>
              <w:t>较小</w:t>
            </w:r>
          </w:p>
        </w:tc>
        <w:tc>
          <w:tcPr>
            <w:tcW w:w="4660" w:type="dxa"/>
            <w:vAlign w:val="center"/>
          </w:tcPr>
          <w:p w14:paraId="24CB8FEA">
            <w:pPr>
              <w:spacing w:line="360" w:lineRule="auto"/>
              <w:jc w:val="center"/>
            </w:pPr>
            <w:r>
              <w:t>0.16≥R＞0.04</w:t>
            </w:r>
          </w:p>
        </w:tc>
        <w:tc>
          <w:tcPr>
            <w:tcW w:w="1825" w:type="dxa"/>
            <w:vAlign w:val="center"/>
          </w:tcPr>
          <w:p w14:paraId="6CAD8894">
            <w:pPr>
              <w:spacing w:line="360" w:lineRule="auto"/>
              <w:jc w:val="center"/>
            </w:pPr>
            <w:r>
              <w:t>L</w:t>
            </w:r>
          </w:p>
        </w:tc>
      </w:tr>
      <w:tr w14:paraId="1420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Align w:val="center"/>
          </w:tcPr>
          <w:p w14:paraId="6B4018FD">
            <w:pPr>
              <w:spacing w:line="360" w:lineRule="auto"/>
              <w:jc w:val="center"/>
            </w:pPr>
            <w:r>
              <w:t>微小</w:t>
            </w:r>
          </w:p>
        </w:tc>
        <w:tc>
          <w:tcPr>
            <w:tcW w:w="4660" w:type="dxa"/>
            <w:vAlign w:val="center"/>
          </w:tcPr>
          <w:p w14:paraId="397F1A69">
            <w:pPr>
              <w:spacing w:line="360" w:lineRule="auto"/>
              <w:jc w:val="center"/>
            </w:pPr>
            <w:r>
              <w:t>R≤0.04</w:t>
            </w:r>
          </w:p>
        </w:tc>
        <w:tc>
          <w:tcPr>
            <w:tcW w:w="1825" w:type="dxa"/>
            <w:vAlign w:val="center"/>
          </w:tcPr>
          <w:p w14:paraId="5BADF218">
            <w:pPr>
              <w:spacing w:line="360" w:lineRule="auto"/>
              <w:jc w:val="center"/>
            </w:pPr>
            <w:r>
              <w:t>N</w:t>
            </w:r>
          </w:p>
        </w:tc>
      </w:tr>
    </w:tbl>
    <w:p w14:paraId="4766B625">
      <w:pPr>
        <w:spacing w:line="360" w:lineRule="auto"/>
        <w:ind w:firstLine="482" w:firstLineChars="200"/>
        <w:rPr>
          <w:rFonts w:ascii="宋体" w:hAnsi="宋体"/>
          <w:b/>
          <w:sz w:val="24"/>
          <w:szCs w:val="24"/>
        </w:rPr>
      </w:pPr>
    </w:p>
    <w:p w14:paraId="1C8D846D">
      <w:pPr>
        <w:spacing w:line="560" w:lineRule="exact"/>
        <w:ind w:firstLine="562" w:firstLineChars="200"/>
        <w:rPr>
          <w:rFonts w:ascii="宋体" w:hAnsi="宋体"/>
          <w:b/>
          <w:sz w:val="28"/>
          <w:szCs w:val="28"/>
        </w:rPr>
      </w:pPr>
      <w:r>
        <w:rPr>
          <w:rFonts w:hint="eastAsia" w:ascii="宋体" w:hAnsi="宋体"/>
          <w:b/>
          <w:sz w:val="28"/>
          <w:szCs w:val="28"/>
        </w:rPr>
        <w:t>（二）主要风险因素</w:t>
      </w:r>
    </w:p>
    <w:p w14:paraId="595379B0">
      <w:pPr>
        <w:spacing w:line="560" w:lineRule="exact"/>
        <w:ind w:firstLine="560" w:firstLineChars="200"/>
        <w:rPr>
          <w:rFonts w:ascii="宋体" w:hAnsi="宋体"/>
          <w:sz w:val="28"/>
          <w:szCs w:val="28"/>
        </w:rPr>
      </w:pPr>
      <w:r>
        <w:rPr>
          <w:rFonts w:hint="eastAsia" w:ascii="宋体" w:hAnsi="宋体"/>
          <w:sz w:val="28"/>
          <w:szCs w:val="28"/>
        </w:rPr>
        <w:t>通过分析研究，共识别出本决策8个单风险因素：</w:t>
      </w:r>
    </w:p>
    <w:p w14:paraId="69C52C66">
      <w:pPr>
        <w:spacing w:line="560" w:lineRule="exact"/>
        <w:ind w:firstLine="560" w:firstLineChars="200"/>
        <w:rPr>
          <w:rFonts w:ascii="宋体" w:hAnsi="宋体"/>
          <w:sz w:val="28"/>
          <w:szCs w:val="28"/>
        </w:rPr>
      </w:pPr>
      <w:r>
        <w:rPr>
          <w:rFonts w:hint="eastAsia" w:ascii="宋体" w:hAnsi="宋体"/>
          <w:sz w:val="28"/>
          <w:szCs w:val="28"/>
        </w:rPr>
        <w:t>1、听证、公示等公众参与程序的合法性2、各级政府政策对布局规划是否支持；3、各布局点周边基础配套设施受否齐全；4、是否能够解决“入园难、入园贵”的问题；5、各幼儿园师资力量是否相对均匀；6、布局对周边居民生活是否有影响；7、幼儿园周边环境对儿童是否存在安全隐患；8、规划实施工作及资金落实情况是否对规划实施有影响。</w:t>
      </w:r>
    </w:p>
    <w:p w14:paraId="3B6827BD">
      <w:pPr>
        <w:spacing w:line="560" w:lineRule="exact"/>
        <w:ind w:firstLine="562" w:firstLineChars="200"/>
        <w:rPr>
          <w:rFonts w:ascii="宋体" w:hAnsi="宋体"/>
          <w:b/>
          <w:sz w:val="28"/>
          <w:szCs w:val="28"/>
        </w:rPr>
      </w:pPr>
      <w:r>
        <w:rPr>
          <w:rFonts w:hint="eastAsia" w:ascii="宋体" w:hAnsi="宋体"/>
          <w:b/>
          <w:sz w:val="28"/>
          <w:szCs w:val="28"/>
        </w:rPr>
        <w:t>（三）单因素风险估计</w:t>
      </w:r>
    </w:p>
    <w:p w14:paraId="33DEF58D">
      <w:pPr>
        <w:spacing w:line="560" w:lineRule="exact"/>
        <w:ind w:firstLine="560" w:firstLineChars="200"/>
        <w:rPr>
          <w:rFonts w:ascii="宋体" w:hAnsi="宋体"/>
          <w:sz w:val="28"/>
          <w:szCs w:val="28"/>
        </w:rPr>
      </w:pPr>
      <w:r>
        <w:rPr>
          <w:rFonts w:hint="eastAsia" w:ascii="宋体" w:hAnsi="宋体"/>
          <w:sz w:val="28"/>
          <w:szCs w:val="28"/>
        </w:rPr>
        <w:t>1、听证、公示等公众参与程序的合法性</w:t>
      </w:r>
    </w:p>
    <w:p w14:paraId="4A8CC142">
      <w:pPr>
        <w:spacing w:line="560" w:lineRule="exact"/>
        <w:ind w:firstLine="560" w:firstLineChars="200"/>
        <w:rPr>
          <w:rFonts w:ascii="宋体" w:hAnsi="宋体"/>
          <w:sz w:val="28"/>
          <w:szCs w:val="28"/>
        </w:rPr>
      </w:pPr>
      <w:r>
        <w:rPr>
          <w:rFonts w:hint="eastAsia" w:ascii="宋体" w:hAnsi="宋体"/>
          <w:sz w:val="28"/>
          <w:szCs w:val="28"/>
        </w:rPr>
        <w:t>《规划》决策符合《烟台市重大行政决策程序规定》和中共烟台市委办公室、市政府办公室《关于印发〈烟台市重大决策社会稳定风险评估办法〉的通知》精神，烟台市</w:t>
      </w:r>
      <w:r>
        <w:rPr>
          <w:rFonts w:hint="eastAsia" w:ascii="宋体" w:hAnsi="宋体"/>
          <w:sz w:val="28"/>
          <w:szCs w:val="28"/>
          <w:lang w:val="en-US" w:eastAsia="zh-CN"/>
        </w:rPr>
        <w:t>莱山区教育和体育局</w:t>
      </w:r>
      <w:r>
        <w:rPr>
          <w:rFonts w:hint="eastAsia" w:ascii="宋体" w:hAnsi="宋体"/>
          <w:sz w:val="28"/>
          <w:szCs w:val="28"/>
        </w:rPr>
        <w:t>已经进行了网络公示、专家论证等环节，以广泛征求公众意见和建议。</w:t>
      </w:r>
    </w:p>
    <w:p w14:paraId="3A38BB70">
      <w:pPr>
        <w:spacing w:line="560" w:lineRule="exact"/>
        <w:ind w:firstLine="560" w:firstLineChars="200"/>
        <w:rPr>
          <w:rFonts w:ascii="宋体" w:hAnsi="宋体"/>
          <w:sz w:val="28"/>
          <w:szCs w:val="28"/>
          <w:highlight w:val="yellow"/>
        </w:rPr>
      </w:pPr>
      <w:r>
        <w:rPr>
          <w:rFonts w:hint="eastAsia" w:ascii="宋体" w:hAnsi="宋体"/>
          <w:sz w:val="28"/>
          <w:szCs w:val="28"/>
        </w:rPr>
        <w:t>分析认为此项风险概率很低，风险影响程度较小。</w:t>
      </w:r>
    </w:p>
    <w:p w14:paraId="69E495A3">
      <w:pPr>
        <w:spacing w:line="560" w:lineRule="exact"/>
        <w:ind w:firstLine="560" w:firstLineChars="200"/>
        <w:rPr>
          <w:rFonts w:ascii="宋体" w:hAnsi="宋体"/>
          <w:sz w:val="28"/>
          <w:szCs w:val="28"/>
        </w:rPr>
      </w:pPr>
      <w:r>
        <w:rPr>
          <w:rFonts w:hint="eastAsia" w:ascii="宋体" w:hAnsi="宋体"/>
          <w:sz w:val="28"/>
          <w:szCs w:val="28"/>
        </w:rPr>
        <w:t>2、各级政府政策对布局规划是否支持</w:t>
      </w:r>
    </w:p>
    <w:p w14:paraId="3582B2AB">
      <w:pPr>
        <w:spacing w:line="560" w:lineRule="exact"/>
        <w:ind w:firstLine="560" w:firstLineChars="200"/>
        <w:rPr>
          <w:rFonts w:ascii="宋体" w:hAnsi="宋体"/>
          <w:sz w:val="28"/>
          <w:szCs w:val="28"/>
        </w:rPr>
      </w:pPr>
      <w:r>
        <w:rPr>
          <w:rFonts w:hint="eastAsia"/>
          <w:sz w:val="28"/>
          <w:szCs w:val="28"/>
          <w:lang w:val="en-GB"/>
        </w:rPr>
        <w:t>党的十九大精神 “建设教育强国是中华民族伟大复兴的基础工程”</w:t>
      </w:r>
      <w:r>
        <w:rPr>
          <w:rFonts w:hint="eastAsia" w:hAnsi="宋体"/>
          <w:sz w:val="28"/>
          <w:szCs w:val="28"/>
        </w:rPr>
        <w:t xml:space="preserve"> 、《国务院办公厅关于规范农村义务教育学校布局调整的意见》、《山东省人民</w:t>
      </w:r>
      <w:r>
        <w:rPr>
          <w:rFonts w:hint="eastAsia" w:ascii="宋体" w:hAnsi="宋体"/>
          <w:sz w:val="28"/>
          <w:szCs w:val="28"/>
        </w:rPr>
        <w:t>政府办公厅关于加快学前教育改革发展的意见》、《山东省教育厅等4部门印发&lt;关于编制2019-2030年中小学及幼儿园布局规划的实施意见&gt;的通知》、《烟台市人民政府办公室关于贯彻落实鲁政办字〔2018〕71号文件启动第三期学前教育三年行动计划的实施意见》、《烟台市莱山区人民政府办公室关于启动第三期学前教育三年行动计划的实施意见（烟莱政办发〔2018〕39号）》等各级政府均有相应的政策文件支持本规划实施。</w:t>
      </w:r>
    </w:p>
    <w:p w14:paraId="2CE29691">
      <w:pPr>
        <w:spacing w:line="560" w:lineRule="exact"/>
        <w:ind w:firstLine="560" w:firstLineChars="200"/>
        <w:rPr>
          <w:rFonts w:ascii="宋体" w:hAnsi="宋体"/>
          <w:sz w:val="28"/>
          <w:szCs w:val="28"/>
        </w:rPr>
      </w:pPr>
      <w:r>
        <w:rPr>
          <w:rFonts w:hint="eastAsia" w:ascii="宋体" w:hAnsi="宋体"/>
          <w:sz w:val="28"/>
          <w:szCs w:val="28"/>
        </w:rPr>
        <w:t>分析认为此项风险概率很低，风险影响程度中等。</w:t>
      </w:r>
    </w:p>
    <w:p w14:paraId="028E8999">
      <w:pPr>
        <w:spacing w:line="560" w:lineRule="exact"/>
        <w:ind w:firstLine="560" w:firstLineChars="200"/>
        <w:rPr>
          <w:rFonts w:ascii="宋体" w:hAnsi="宋体"/>
          <w:sz w:val="28"/>
          <w:szCs w:val="28"/>
        </w:rPr>
      </w:pPr>
      <w:r>
        <w:rPr>
          <w:rFonts w:hint="eastAsia" w:ascii="宋体" w:hAnsi="宋体"/>
          <w:sz w:val="28"/>
          <w:szCs w:val="28"/>
        </w:rPr>
        <w:t>3、各布局点周边基础配套设施受否齐全</w:t>
      </w:r>
    </w:p>
    <w:p w14:paraId="708A3085">
      <w:pPr>
        <w:spacing w:line="560" w:lineRule="exact"/>
        <w:ind w:firstLine="560" w:firstLineChars="200"/>
        <w:rPr>
          <w:rFonts w:ascii="宋体" w:hAnsi="宋体"/>
          <w:sz w:val="28"/>
          <w:szCs w:val="28"/>
        </w:rPr>
      </w:pPr>
      <w:r>
        <w:rPr>
          <w:rFonts w:hint="eastAsia" w:ascii="宋体" w:hAnsi="宋体"/>
          <w:sz w:val="28"/>
          <w:szCs w:val="28"/>
        </w:rPr>
        <w:t>以区域现状幼儿园为基础，结合其人口增长、用地变化、建设情况以及基础设施配套情况，对幼儿园进行优化调整，更为合理的布局教育设施资源。莱山区在供水、供电、供气、供热、交通、通讯等方面的基础设施配套都较为完善，幼儿园布局点也选择在各项基础设施齐全的地点。</w:t>
      </w:r>
      <w:r>
        <w:rPr>
          <w:rFonts w:hint="eastAsia" w:ascii="宋体" w:hAnsi="宋体"/>
          <w:b/>
          <w:bCs/>
          <w:sz w:val="28"/>
          <w:szCs w:val="28"/>
        </w:rPr>
        <w:t xml:space="preserve"> </w:t>
      </w:r>
    </w:p>
    <w:p w14:paraId="38A071AF">
      <w:pPr>
        <w:spacing w:line="560" w:lineRule="exact"/>
        <w:ind w:firstLine="560" w:firstLineChars="200"/>
        <w:rPr>
          <w:rFonts w:ascii="宋体" w:hAnsi="宋体"/>
          <w:sz w:val="28"/>
          <w:szCs w:val="28"/>
        </w:rPr>
      </w:pPr>
      <w:r>
        <w:rPr>
          <w:rFonts w:hint="eastAsia" w:ascii="宋体" w:hAnsi="宋体"/>
          <w:sz w:val="28"/>
          <w:szCs w:val="28"/>
        </w:rPr>
        <w:t>分析认为此项风险概率很低，风险影响程度较小。</w:t>
      </w:r>
    </w:p>
    <w:p w14:paraId="6DEB4DAE">
      <w:pPr>
        <w:spacing w:line="560" w:lineRule="exact"/>
        <w:ind w:firstLine="560" w:firstLineChars="200"/>
        <w:rPr>
          <w:rFonts w:ascii="宋体" w:hAnsi="宋体"/>
          <w:sz w:val="28"/>
          <w:szCs w:val="28"/>
        </w:rPr>
      </w:pPr>
      <w:r>
        <w:rPr>
          <w:rFonts w:hint="eastAsia" w:ascii="宋体" w:hAnsi="宋体"/>
          <w:sz w:val="28"/>
          <w:szCs w:val="28"/>
        </w:rPr>
        <w:t>4、是否能够解决“入园难、入园贵”的问题</w:t>
      </w:r>
    </w:p>
    <w:p w14:paraId="1188663B">
      <w:pPr>
        <w:spacing w:line="560" w:lineRule="exact"/>
        <w:ind w:firstLine="560" w:firstLineChars="200"/>
        <w:rPr>
          <w:rFonts w:ascii="宋体" w:hAnsi="宋体"/>
          <w:sz w:val="28"/>
          <w:szCs w:val="28"/>
        </w:rPr>
      </w:pPr>
      <w:r>
        <w:rPr>
          <w:rFonts w:hint="eastAsia" w:ascii="宋体" w:hAnsi="宋体"/>
          <w:sz w:val="28"/>
          <w:szCs w:val="28"/>
        </w:rPr>
        <w:t>目前，莱山区教育结构失衡，优质教育资源均集中于中心区，外围地区（城乡结合部）教育质量一定程度上落后于城区发展水平。本次规划总面积约286平方公里，分为六个片区北部城区区片、中心城区区片、莱山经济开发区区片、莱山街道办事处区片、院格庄区片和解甲庄区片，涵盖了整个莱山区。 至203</w:t>
      </w:r>
      <w:r>
        <w:rPr>
          <w:rFonts w:hint="eastAsia" w:ascii="宋体" w:hAnsi="宋体"/>
          <w:sz w:val="28"/>
          <w:szCs w:val="28"/>
          <w:lang w:val="en-US" w:eastAsia="zh-CN"/>
        </w:rPr>
        <w:t>5</w:t>
      </w:r>
      <w:r>
        <w:rPr>
          <w:rFonts w:hint="eastAsia" w:ascii="宋体" w:hAnsi="宋体"/>
          <w:sz w:val="28"/>
          <w:szCs w:val="28"/>
        </w:rPr>
        <w:t>年规划期末，莱山区幼儿园共</w:t>
      </w:r>
      <w:r>
        <w:rPr>
          <w:rFonts w:hint="eastAsia" w:ascii="宋体" w:hAnsi="宋体"/>
          <w:sz w:val="28"/>
          <w:szCs w:val="28"/>
          <w:lang w:val="en-US" w:eastAsia="zh-CN"/>
        </w:rPr>
        <w:t>75</w:t>
      </w:r>
      <w:r>
        <w:rPr>
          <w:rFonts w:hint="eastAsia" w:ascii="宋体" w:hAnsi="宋体"/>
          <w:sz w:val="28"/>
          <w:szCs w:val="28"/>
        </w:rPr>
        <w:t>所，</w:t>
      </w:r>
      <w:r>
        <w:rPr>
          <w:rFonts w:hint="eastAsia" w:ascii="宋体" w:hAnsi="宋体"/>
          <w:sz w:val="28"/>
          <w:szCs w:val="28"/>
          <w:lang w:val="en-US" w:eastAsia="zh-CN"/>
        </w:rPr>
        <w:t>574</w:t>
      </w:r>
      <w:r>
        <w:rPr>
          <w:rFonts w:hint="eastAsia" w:ascii="宋体" w:hAnsi="宋体"/>
          <w:sz w:val="28"/>
          <w:szCs w:val="28"/>
        </w:rPr>
        <w:t>班，其中： 保留现状幼儿园</w:t>
      </w:r>
      <w:r>
        <w:rPr>
          <w:rFonts w:hint="eastAsia" w:ascii="宋体" w:hAnsi="宋体"/>
          <w:sz w:val="28"/>
          <w:szCs w:val="28"/>
          <w:lang w:val="en-US" w:eastAsia="zh-CN"/>
        </w:rPr>
        <w:t>41</w:t>
      </w:r>
      <w:r>
        <w:rPr>
          <w:rFonts w:hint="eastAsia" w:ascii="宋体" w:hAnsi="宋体"/>
          <w:sz w:val="28"/>
          <w:szCs w:val="28"/>
        </w:rPr>
        <w:t>所，</w:t>
      </w:r>
      <w:r>
        <w:rPr>
          <w:rFonts w:hint="eastAsia" w:ascii="宋体" w:hAnsi="宋体"/>
          <w:sz w:val="28"/>
          <w:szCs w:val="28"/>
          <w:lang w:val="en-US" w:eastAsia="zh-CN"/>
        </w:rPr>
        <w:t>规划</w:t>
      </w:r>
      <w:r>
        <w:rPr>
          <w:rFonts w:hint="eastAsia" w:ascii="宋体" w:hAnsi="宋体"/>
          <w:sz w:val="28"/>
          <w:szCs w:val="28"/>
        </w:rPr>
        <w:t>新增</w:t>
      </w:r>
      <w:r>
        <w:rPr>
          <w:rFonts w:hint="eastAsia" w:ascii="宋体" w:hAnsi="宋体"/>
          <w:sz w:val="28"/>
          <w:szCs w:val="28"/>
          <w:lang w:val="en-US" w:eastAsia="zh-CN"/>
        </w:rPr>
        <w:t>34</w:t>
      </w:r>
      <w:r>
        <w:rPr>
          <w:rFonts w:hint="eastAsia" w:ascii="宋体" w:hAnsi="宋体"/>
          <w:sz w:val="28"/>
          <w:szCs w:val="28"/>
        </w:rPr>
        <w:t>所，撤销20所。城镇按照五分钟生活圈配置要求；农村按照1~2千米的服务范围或以农村社区为配套单元。基本可以解决“入园难、入园贵”的问题。</w:t>
      </w:r>
    </w:p>
    <w:p w14:paraId="4FD655D5">
      <w:pPr>
        <w:spacing w:line="560" w:lineRule="exact"/>
        <w:ind w:firstLine="560" w:firstLineChars="200"/>
        <w:rPr>
          <w:rFonts w:ascii="宋体" w:hAnsi="宋体"/>
          <w:sz w:val="28"/>
          <w:szCs w:val="28"/>
        </w:rPr>
      </w:pPr>
      <w:r>
        <w:rPr>
          <w:rFonts w:hint="eastAsia" w:ascii="宋体" w:hAnsi="宋体"/>
          <w:sz w:val="28"/>
          <w:szCs w:val="28"/>
        </w:rPr>
        <w:t>分析认为采取风险防范、化解措施后，风险发生概率较低，风险影响程度较小。</w:t>
      </w:r>
    </w:p>
    <w:p w14:paraId="39CA9042">
      <w:pPr>
        <w:spacing w:line="560" w:lineRule="exact"/>
        <w:ind w:firstLine="560" w:firstLineChars="200"/>
        <w:rPr>
          <w:rFonts w:ascii="宋体" w:hAnsi="宋体"/>
          <w:sz w:val="28"/>
          <w:szCs w:val="28"/>
        </w:rPr>
      </w:pPr>
      <w:r>
        <w:rPr>
          <w:rFonts w:hint="eastAsia" w:ascii="宋体" w:hAnsi="宋体"/>
          <w:sz w:val="28"/>
          <w:szCs w:val="28"/>
        </w:rPr>
        <w:t>5、各幼儿园师资力量是否相对均匀</w:t>
      </w:r>
    </w:p>
    <w:p w14:paraId="74054741">
      <w:pPr>
        <w:spacing w:line="560" w:lineRule="exact"/>
        <w:ind w:firstLine="560" w:firstLineChars="200"/>
        <w:rPr>
          <w:rFonts w:ascii="宋体" w:hAnsi="宋体"/>
          <w:sz w:val="28"/>
          <w:szCs w:val="28"/>
        </w:rPr>
      </w:pPr>
      <w:r>
        <w:rPr>
          <w:rFonts w:hint="eastAsia" w:ascii="宋体" w:hAnsi="宋体"/>
          <w:sz w:val="28"/>
          <w:szCs w:val="28"/>
        </w:rPr>
        <w:t xml:space="preserve">各幼儿园在收费、教师调配、教玩具配置、工资发放、工作考核、保教质量等方面，实行评估“六统一”，整合农村学前教育资源，稳定和优化师资队伍；实施农村教师待遇与城镇教师差异化措施，提高农村教师收入水平；在师资水平上，优秀教师均衡分配，提高农村师资水平；城乡学校联盟化发展，实现多方面的资源共享；打造“小而美”高品质的乡村学校，增强校车、食宿等保障措施；依据规划，适度超前，置换升级，高标准建设城镇学校，保障进城教育需求。采取以上措施力求师资力量相对均匀。 </w:t>
      </w:r>
    </w:p>
    <w:p w14:paraId="08A4D920">
      <w:pPr>
        <w:spacing w:line="560" w:lineRule="exact"/>
        <w:ind w:firstLine="560" w:firstLineChars="200"/>
        <w:rPr>
          <w:rFonts w:ascii="宋体" w:hAnsi="宋体"/>
          <w:sz w:val="28"/>
          <w:szCs w:val="28"/>
        </w:rPr>
      </w:pPr>
      <w:r>
        <w:rPr>
          <w:rFonts w:hint="eastAsia" w:ascii="宋体" w:hAnsi="宋体"/>
          <w:sz w:val="28"/>
          <w:szCs w:val="28"/>
        </w:rPr>
        <w:t>分析认为采取风险防范、化解措施后，风险发生概率中等，风险影响程度较小。</w:t>
      </w:r>
    </w:p>
    <w:p w14:paraId="447C4733">
      <w:pPr>
        <w:spacing w:line="560" w:lineRule="exact"/>
        <w:ind w:firstLine="560" w:firstLineChars="200"/>
        <w:rPr>
          <w:rFonts w:ascii="宋体" w:hAnsi="宋体"/>
          <w:sz w:val="28"/>
          <w:szCs w:val="28"/>
        </w:rPr>
      </w:pPr>
      <w:r>
        <w:rPr>
          <w:rFonts w:hint="eastAsia" w:ascii="宋体" w:hAnsi="宋体"/>
          <w:sz w:val="28"/>
          <w:szCs w:val="28"/>
        </w:rPr>
        <w:t>6、布局对周边居民生活是否有影响</w:t>
      </w:r>
    </w:p>
    <w:p w14:paraId="10C096F5">
      <w:pPr>
        <w:spacing w:line="560" w:lineRule="exact"/>
        <w:ind w:firstLine="560" w:firstLineChars="200"/>
        <w:rPr>
          <w:rFonts w:ascii="宋体" w:hAnsi="宋体"/>
          <w:sz w:val="28"/>
          <w:szCs w:val="28"/>
        </w:rPr>
      </w:pPr>
      <w:r>
        <w:rPr>
          <w:rFonts w:hint="eastAsia" w:ascii="宋体" w:hAnsi="宋体"/>
          <w:sz w:val="28"/>
          <w:szCs w:val="28"/>
        </w:rPr>
        <w:t>在规划实施期间，由于新建幼儿园，势必会对布局点周边居民生活带来一定影响，如在施工过程中</w:t>
      </w:r>
      <w:r>
        <w:rPr>
          <w:rFonts w:hint="eastAsia" w:ascii="宋体" w:hAnsi="宋体" w:eastAsia="宋体" w:cs="Times New Roman"/>
          <w:sz w:val="28"/>
          <w:szCs w:val="28"/>
        </w:rPr>
        <w:t>挖土机械、打桩机械以及施工车辆等所产生的噪声</w:t>
      </w:r>
      <w:r>
        <w:rPr>
          <w:rFonts w:hint="eastAsia" w:ascii="宋体" w:hAnsi="宋体"/>
          <w:sz w:val="28"/>
          <w:szCs w:val="28"/>
        </w:rPr>
        <w:t>；</w:t>
      </w:r>
      <w:r>
        <w:rPr>
          <w:rFonts w:hint="eastAsia" w:ascii="宋体" w:hAnsi="宋体" w:eastAsia="宋体" w:cs="Times New Roman"/>
          <w:sz w:val="28"/>
          <w:szCs w:val="28"/>
        </w:rPr>
        <w:t>由于土方挖掘、运输和装卸及堆放场，风吹或扰动产生扬尘；车辆经过裸露路而引起的路面积尘飞扬</w:t>
      </w:r>
      <w:r>
        <w:rPr>
          <w:rFonts w:hint="eastAsia" w:ascii="宋体" w:hAnsi="宋体"/>
          <w:sz w:val="28"/>
          <w:szCs w:val="28"/>
        </w:rPr>
        <w:t>；</w:t>
      </w:r>
      <w:r>
        <w:rPr>
          <w:rFonts w:hint="eastAsia" w:ascii="宋体" w:hAnsi="宋体" w:eastAsia="宋体" w:cs="Times New Roman"/>
          <w:sz w:val="28"/>
          <w:szCs w:val="28"/>
        </w:rPr>
        <w:t>混凝土系统冲洗水、施工机械设备冲洗水、机械维修清洗用水等，主要含悬浮物、碱和油类。施工废水SS浓度较高，直接排放将对土壤及地表水体造成污染影响</w:t>
      </w:r>
      <w:r>
        <w:rPr>
          <w:rFonts w:hint="eastAsia" w:ascii="宋体" w:hAnsi="宋体"/>
          <w:sz w:val="28"/>
          <w:szCs w:val="28"/>
        </w:rPr>
        <w:t>，</w:t>
      </w:r>
      <w:r>
        <w:rPr>
          <w:rFonts w:hint="eastAsia" w:ascii="宋体" w:hAnsi="宋体" w:eastAsia="宋体" w:cs="Times New Roman"/>
          <w:sz w:val="28"/>
          <w:szCs w:val="28"/>
        </w:rPr>
        <w:t>施工工人在施工过程产生的生活废水对周围环境也会造成一定的影响</w:t>
      </w:r>
      <w:r>
        <w:rPr>
          <w:rFonts w:hint="eastAsia" w:ascii="宋体" w:hAnsi="宋体"/>
          <w:sz w:val="28"/>
          <w:szCs w:val="28"/>
        </w:rPr>
        <w:t>；</w:t>
      </w:r>
      <w:r>
        <w:rPr>
          <w:rFonts w:hint="eastAsia" w:ascii="宋体" w:hAnsi="宋体" w:eastAsia="宋体" w:cs="Times New Roman"/>
          <w:sz w:val="28"/>
          <w:szCs w:val="28"/>
        </w:rPr>
        <w:t>工地会产生少量余泥、渣土、地表开挖的余泥、施工剩余废物料等。弃土在堆放和运输过程中，如不妥善处置，则会阻碍交通，污染环境。开挖弃土清运车辆行走时尘土的撒漏也会给周围环境卫生带来危害。应在幼儿园建设过程中强化管理，尽量减少各种污染对居民生活带来的影响。</w:t>
      </w:r>
    </w:p>
    <w:p w14:paraId="27EB9ED8">
      <w:pPr>
        <w:spacing w:line="560" w:lineRule="exact"/>
        <w:ind w:firstLine="560" w:firstLineChars="200"/>
        <w:rPr>
          <w:rFonts w:ascii="宋体" w:hAnsi="宋体"/>
          <w:sz w:val="28"/>
          <w:szCs w:val="28"/>
        </w:rPr>
      </w:pPr>
      <w:r>
        <w:rPr>
          <w:rFonts w:hint="eastAsia" w:ascii="宋体" w:hAnsi="宋体"/>
          <w:sz w:val="28"/>
          <w:szCs w:val="28"/>
        </w:rPr>
        <w:t>分析认为采取风险防范、化解措施后，风险发生概率中等，风险影响程度中等。</w:t>
      </w:r>
    </w:p>
    <w:p w14:paraId="326CB296">
      <w:pPr>
        <w:spacing w:line="560" w:lineRule="exact"/>
        <w:ind w:firstLine="560" w:firstLineChars="200"/>
        <w:rPr>
          <w:rFonts w:ascii="宋体" w:hAnsi="宋体"/>
          <w:sz w:val="28"/>
          <w:szCs w:val="28"/>
        </w:rPr>
      </w:pPr>
      <w:r>
        <w:rPr>
          <w:rFonts w:hint="eastAsia" w:ascii="宋体" w:hAnsi="宋体"/>
          <w:sz w:val="28"/>
          <w:szCs w:val="28"/>
        </w:rPr>
        <w:t>7、幼儿园周边环境对儿童是否存在安全隐患</w:t>
      </w:r>
    </w:p>
    <w:p w14:paraId="56839427">
      <w:pPr>
        <w:spacing w:line="560" w:lineRule="exact"/>
        <w:ind w:firstLine="560" w:firstLineChars="200"/>
        <w:rPr>
          <w:rFonts w:ascii="宋体" w:hAnsi="宋体"/>
          <w:sz w:val="28"/>
          <w:szCs w:val="28"/>
        </w:rPr>
      </w:pPr>
      <w:r>
        <w:rPr>
          <w:rFonts w:hint="eastAsia" w:ascii="宋体" w:hAnsi="宋体"/>
          <w:sz w:val="28"/>
          <w:szCs w:val="28"/>
        </w:rPr>
        <w:t>各幼儿园布局点均布置于人口相对密集，交通相对拥堵地区，在幼儿园上放学期间有可能存在因拥挤导致儿童受伤、走失的情况，另外接送孩子的车辆也有一定的危险因素，因此，政府及园放要做好安全宣传和保护措施，尽量减少上述情况的发生。</w:t>
      </w:r>
    </w:p>
    <w:p w14:paraId="472C2B53">
      <w:pPr>
        <w:spacing w:line="560" w:lineRule="exact"/>
        <w:ind w:firstLine="560" w:firstLineChars="200"/>
        <w:rPr>
          <w:rFonts w:ascii="宋体" w:hAnsi="宋体"/>
          <w:sz w:val="28"/>
          <w:szCs w:val="28"/>
        </w:rPr>
      </w:pPr>
      <w:r>
        <w:rPr>
          <w:rFonts w:hint="eastAsia" w:ascii="宋体" w:hAnsi="宋体"/>
          <w:sz w:val="28"/>
          <w:szCs w:val="28"/>
        </w:rPr>
        <w:t>分析认为采取风险防范、化解措施后，风险发生概率较低，风险影响程度中等。</w:t>
      </w:r>
    </w:p>
    <w:p w14:paraId="0D039874">
      <w:pPr>
        <w:spacing w:line="560" w:lineRule="exact"/>
        <w:ind w:firstLine="560" w:firstLineChars="200"/>
        <w:rPr>
          <w:rFonts w:ascii="宋体" w:hAnsi="宋体"/>
          <w:sz w:val="28"/>
          <w:szCs w:val="28"/>
        </w:rPr>
      </w:pPr>
      <w:r>
        <w:rPr>
          <w:rFonts w:hint="eastAsia" w:ascii="宋体" w:hAnsi="宋体"/>
          <w:sz w:val="28"/>
          <w:szCs w:val="28"/>
        </w:rPr>
        <w:t>8、规划实施工作及资金落实情况是否对规划实施有影响。</w:t>
      </w:r>
    </w:p>
    <w:p w14:paraId="520813A4">
      <w:pPr>
        <w:spacing w:line="560" w:lineRule="exact"/>
        <w:ind w:firstLine="560" w:firstLineChars="200"/>
        <w:rPr>
          <w:rFonts w:ascii="宋体" w:hAnsi="宋体"/>
          <w:sz w:val="28"/>
          <w:szCs w:val="28"/>
        </w:rPr>
      </w:pPr>
      <w:r>
        <w:rPr>
          <w:rFonts w:hint="eastAsia" w:ascii="宋体" w:hAnsi="宋体"/>
          <w:sz w:val="28"/>
          <w:szCs w:val="28"/>
        </w:rPr>
        <w:t>政府各部门切实做到对幼儿园布局调整工作的支持，在征地、城建规划时应着重考虑幼儿园布局调整的要求，积极予以配合。同时完善机制，严格奖惩。将幼儿园布局调整工作列入重要议事日程，研究制定有关政策，协调解决工作中的重大问题。要建立激励机制，促进调整工作的实施，要把调整任务逐级分解，建立目标责任制，纳入主要领导任期目标和政绩考核内容。幼儿园布局调整工作结束后，政府将组织有关部门对布局调整工作进行评估考核。对调整力度大，实施效果好的乡镇给予表彰奖励。在资金落实方面 区财政应做好预算，保证规划如期实施。</w:t>
      </w:r>
    </w:p>
    <w:p w14:paraId="20EC5828">
      <w:pPr>
        <w:spacing w:line="560" w:lineRule="exact"/>
        <w:ind w:firstLine="560" w:firstLineChars="200"/>
        <w:rPr>
          <w:rFonts w:ascii="宋体" w:hAnsi="宋体"/>
          <w:sz w:val="28"/>
          <w:szCs w:val="28"/>
          <w:highlight w:val="yellow"/>
        </w:rPr>
      </w:pPr>
      <w:r>
        <w:rPr>
          <w:rFonts w:hint="eastAsia" w:ascii="宋体" w:hAnsi="宋体"/>
          <w:sz w:val="28"/>
          <w:szCs w:val="28"/>
        </w:rPr>
        <w:t>分析认为此项风险概率很低，风险影响程度较小。</w:t>
      </w:r>
    </w:p>
    <w:p w14:paraId="6E6E9F18">
      <w:pPr>
        <w:spacing w:line="360" w:lineRule="auto"/>
        <w:jc w:val="center"/>
        <w:rPr>
          <w:rFonts w:ascii="宋体" w:hAnsi="宋体"/>
          <w:sz w:val="28"/>
          <w:szCs w:val="28"/>
        </w:rPr>
      </w:pPr>
    </w:p>
    <w:p w14:paraId="6C711934">
      <w:pPr>
        <w:spacing w:line="360" w:lineRule="auto"/>
        <w:jc w:val="center"/>
        <w:rPr>
          <w:rFonts w:ascii="宋体" w:hAnsi="宋体"/>
          <w:sz w:val="28"/>
          <w:szCs w:val="28"/>
        </w:rPr>
      </w:pPr>
    </w:p>
    <w:p w14:paraId="6782E293">
      <w:pPr>
        <w:spacing w:line="360" w:lineRule="auto"/>
        <w:jc w:val="center"/>
        <w:rPr>
          <w:rFonts w:hint="eastAsia" w:ascii="宋体" w:hAnsi="宋体"/>
        </w:rPr>
      </w:pPr>
    </w:p>
    <w:p w14:paraId="6509037E">
      <w:pPr>
        <w:spacing w:line="360" w:lineRule="auto"/>
        <w:jc w:val="center"/>
        <w:rPr>
          <w:rFonts w:hAnsi="宋体"/>
        </w:rPr>
      </w:pPr>
      <w:r>
        <w:rPr>
          <w:rFonts w:hint="eastAsia" w:ascii="宋体" w:hAnsi="宋体"/>
        </w:rPr>
        <w:t xml:space="preserve">表-4  </w:t>
      </w:r>
      <w:r>
        <w:rPr>
          <w:rFonts w:hint="eastAsia" w:hAnsi="宋体"/>
        </w:rPr>
        <w:t>《规划》主要风险因素及风险程度表</w:t>
      </w:r>
    </w:p>
    <w:tbl>
      <w:tblPr>
        <w:tblStyle w:val="5"/>
        <w:tblW w:w="8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1395"/>
        <w:gridCol w:w="3525"/>
        <w:gridCol w:w="900"/>
        <w:gridCol w:w="900"/>
        <w:gridCol w:w="906"/>
      </w:tblGrid>
      <w:tr w14:paraId="2FEA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2" w:type="dxa"/>
            <w:tcBorders>
              <w:bottom w:val="single" w:color="000000" w:sz="4" w:space="0"/>
              <w:right w:val="single" w:color="000000" w:sz="4" w:space="0"/>
              <w:tl2br w:val="nil"/>
              <w:tr2bl w:val="nil"/>
            </w:tcBorders>
            <w:vAlign w:val="center"/>
          </w:tcPr>
          <w:p w14:paraId="54D1EC56">
            <w:pPr>
              <w:jc w:val="center"/>
              <w:rPr>
                <w:rFonts w:ascii="宋体" w:hAnsi="宋体" w:cs="宋体"/>
                <w:sz w:val="24"/>
              </w:rPr>
            </w:pPr>
            <w:r>
              <w:rPr>
                <w:rFonts w:hint="eastAsia" w:ascii="宋体" w:hAnsi="宋体" w:cs="宋体"/>
                <w:sz w:val="24"/>
              </w:rPr>
              <w:t>序号</w:t>
            </w:r>
          </w:p>
        </w:tc>
        <w:tc>
          <w:tcPr>
            <w:tcW w:w="1395" w:type="dxa"/>
            <w:tcBorders>
              <w:left w:val="single" w:color="000000" w:sz="4" w:space="0"/>
              <w:bottom w:val="single" w:color="000000" w:sz="4" w:space="0"/>
              <w:tl2br w:val="nil"/>
              <w:tr2bl w:val="nil"/>
            </w:tcBorders>
            <w:vAlign w:val="center"/>
          </w:tcPr>
          <w:p w14:paraId="68D93435">
            <w:pPr>
              <w:jc w:val="center"/>
              <w:rPr>
                <w:rFonts w:ascii="宋体" w:hAnsi="宋体" w:cs="宋体"/>
                <w:sz w:val="24"/>
              </w:rPr>
            </w:pPr>
            <w:r>
              <w:rPr>
                <w:rFonts w:hint="eastAsia" w:ascii="宋体" w:hAnsi="宋体" w:cs="宋体"/>
                <w:sz w:val="24"/>
              </w:rPr>
              <w:t>风险类型</w:t>
            </w:r>
          </w:p>
        </w:tc>
        <w:tc>
          <w:tcPr>
            <w:tcW w:w="3525" w:type="dxa"/>
            <w:tcBorders>
              <w:bottom w:val="single" w:color="000000" w:sz="4" w:space="0"/>
              <w:right w:val="single" w:color="000000" w:sz="4" w:space="0"/>
              <w:tl2br w:val="nil"/>
              <w:tr2bl w:val="nil"/>
            </w:tcBorders>
            <w:vAlign w:val="center"/>
          </w:tcPr>
          <w:p w14:paraId="2EDE0FCC">
            <w:pPr>
              <w:jc w:val="center"/>
              <w:rPr>
                <w:rFonts w:ascii="宋体" w:hAnsi="宋体"/>
              </w:rPr>
            </w:pPr>
            <w:r>
              <w:rPr>
                <w:rFonts w:hint="eastAsia" w:ascii="宋体" w:hAnsi="宋体"/>
              </w:rPr>
              <w:t>风险因素</w:t>
            </w:r>
          </w:p>
        </w:tc>
        <w:tc>
          <w:tcPr>
            <w:tcW w:w="900" w:type="dxa"/>
            <w:tcBorders>
              <w:left w:val="single" w:color="000000" w:sz="4" w:space="0"/>
              <w:bottom w:val="single" w:color="000000" w:sz="4" w:space="0"/>
              <w:right w:val="single" w:color="000000" w:sz="4" w:space="0"/>
              <w:tl2br w:val="nil"/>
              <w:tr2bl w:val="nil"/>
            </w:tcBorders>
          </w:tcPr>
          <w:p w14:paraId="0057EDBF">
            <w:pPr>
              <w:jc w:val="center"/>
              <w:rPr>
                <w:rFonts w:hAnsi="宋体"/>
                <w:szCs w:val="21"/>
              </w:rPr>
            </w:pPr>
            <w:r>
              <w:rPr>
                <w:rFonts w:hAnsi="宋体"/>
                <w:szCs w:val="21"/>
              </w:rPr>
              <w:t>风险</w:t>
            </w:r>
          </w:p>
          <w:p w14:paraId="2C66B679">
            <w:pPr>
              <w:jc w:val="center"/>
              <w:rPr>
                <w:rFonts w:ascii="宋体" w:hAnsi="宋体"/>
              </w:rPr>
            </w:pPr>
            <w:r>
              <w:rPr>
                <w:rFonts w:hAnsi="宋体"/>
                <w:szCs w:val="21"/>
              </w:rPr>
              <w:t>概率</w:t>
            </w:r>
          </w:p>
        </w:tc>
        <w:tc>
          <w:tcPr>
            <w:tcW w:w="900" w:type="dxa"/>
            <w:tcBorders>
              <w:left w:val="single" w:color="000000" w:sz="4" w:space="0"/>
              <w:bottom w:val="single" w:color="000000" w:sz="4" w:space="0"/>
              <w:right w:val="single" w:color="000000" w:sz="4" w:space="0"/>
              <w:tl2br w:val="nil"/>
              <w:tr2bl w:val="nil"/>
            </w:tcBorders>
          </w:tcPr>
          <w:p w14:paraId="4369FBC3">
            <w:pPr>
              <w:jc w:val="center"/>
              <w:rPr>
                <w:rFonts w:hAnsi="宋体"/>
                <w:szCs w:val="21"/>
              </w:rPr>
            </w:pPr>
            <w:r>
              <w:rPr>
                <w:rFonts w:hAnsi="宋体"/>
                <w:szCs w:val="21"/>
              </w:rPr>
              <w:t>影响</w:t>
            </w:r>
          </w:p>
          <w:p w14:paraId="79F108EB">
            <w:pPr>
              <w:jc w:val="center"/>
              <w:rPr>
                <w:rFonts w:ascii="宋体" w:hAnsi="宋体"/>
              </w:rPr>
            </w:pPr>
            <w:r>
              <w:rPr>
                <w:rFonts w:hAnsi="宋体"/>
                <w:szCs w:val="21"/>
              </w:rPr>
              <w:t>程度</w:t>
            </w:r>
          </w:p>
        </w:tc>
        <w:tc>
          <w:tcPr>
            <w:tcW w:w="906" w:type="dxa"/>
            <w:tcBorders>
              <w:left w:val="single" w:color="000000" w:sz="4" w:space="0"/>
              <w:bottom w:val="single" w:color="000000" w:sz="4" w:space="0"/>
              <w:tl2br w:val="nil"/>
              <w:tr2bl w:val="nil"/>
            </w:tcBorders>
          </w:tcPr>
          <w:p w14:paraId="67D9C5B7">
            <w:pPr>
              <w:jc w:val="center"/>
              <w:rPr>
                <w:rFonts w:hAnsi="宋体"/>
                <w:szCs w:val="21"/>
              </w:rPr>
            </w:pPr>
            <w:r>
              <w:rPr>
                <w:rFonts w:hAnsi="宋体"/>
                <w:szCs w:val="21"/>
              </w:rPr>
              <w:t>风险</w:t>
            </w:r>
          </w:p>
          <w:p w14:paraId="5A5A2F6E">
            <w:pPr>
              <w:jc w:val="center"/>
              <w:rPr>
                <w:rFonts w:ascii="宋体" w:hAnsi="宋体"/>
              </w:rPr>
            </w:pPr>
            <w:r>
              <w:rPr>
                <w:rFonts w:hAnsi="宋体"/>
                <w:szCs w:val="21"/>
              </w:rPr>
              <w:t>程度</w:t>
            </w:r>
          </w:p>
        </w:tc>
      </w:tr>
      <w:tr w14:paraId="63A8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2" w:type="dxa"/>
            <w:tcBorders>
              <w:bottom w:val="single" w:color="000000" w:sz="4" w:space="0"/>
              <w:right w:val="single" w:color="000000" w:sz="4" w:space="0"/>
              <w:tl2br w:val="nil"/>
              <w:tr2bl w:val="nil"/>
            </w:tcBorders>
            <w:vAlign w:val="center"/>
          </w:tcPr>
          <w:p w14:paraId="54F39F9E">
            <w:pPr>
              <w:jc w:val="center"/>
              <w:rPr>
                <w:rFonts w:ascii="宋体" w:hAnsi="宋体" w:cs="宋体"/>
                <w:sz w:val="24"/>
              </w:rPr>
            </w:pPr>
            <w:r>
              <w:rPr>
                <w:rFonts w:hint="eastAsia" w:ascii="宋体" w:hAnsi="宋体" w:cs="宋体"/>
                <w:sz w:val="24"/>
              </w:rPr>
              <w:t>1</w:t>
            </w:r>
          </w:p>
        </w:tc>
        <w:tc>
          <w:tcPr>
            <w:tcW w:w="1395" w:type="dxa"/>
            <w:tcBorders>
              <w:left w:val="single" w:color="000000" w:sz="4" w:space="0"/>
              <w:bottom w:val="single" w:color="000000" w:sz="4" w:space="0"/>
              <w:tl2br w:val="nil"/>
              <w:tr2bl w:val="nil"/>
            </w:tcBorders>
            <w:vAlign w:val="center"/>
          </w:tcPr>
          <w:p w14:paraId="09289C24">
            <w:pPr>
              <w:jc w:val="center"/>
              <w:rPr>
                <w:rFonts w:ascii="宋体" w:hAnsi="宋体" w:cs="宋体"/>
                <w:sz w:val="24"/>
              </w:rPr>
            </w:pPr>
            <w:r>
              <w:rPr>
                <w:rFonts w:hint="eastAsia"/>
              </w:rPr>
              <w:t>决策合法性</w:t>
            </w:r>
          </w:p>
        </w:tc>
        <w:tc>
          <w:tcPr>
            <w:tcW w:w="3525" w:type="dxa"/>
            <w:tcBorders>
              <w:bottom w:val="single" w:color="000000" w:sz="4" w:space="0"/>
              <w:right w:val="single" w:color="000000" w:sz="4" w:space="0"/>
              <w:tl2br w:val="nil"/>
              <w:tr2bl w:val="nil"/>
            </w:tcBorders>
            <w:vAlign w:val="center"/>
          </w:tcPr>
          <w:p w14:paraId="2D2FF900">
            <w:pPr>
              <w:jc w:val="left"/>
              <w:rPr>
                <w:rFonts w:ascii="宋体" w:hAnsi="宋体"/>
              </w:rPr>
            </w:pPr>
            <w:r>
              <w:rPr>
                <w:rFonts w:hint="eastAsia" w:ascii="宋体" w:hAnsi="宋体"/>
              </w:rPr>
              <w:t>听证、公示等公众参与程序是否合法</w:t>
            </w:r>
          </w:p>
        </w:tc>
        <w:tc>
          <w:tcPr>
            <w:tcW w:w="900" w:type="dxa"/>
            <w:tcBorders>
              <w:left w:val="single" w:color="000000" w:sz="4" w:space="0"/>
              <w:bottom w:val="single" w:color="000000" w:sz="4" w:space="0"/>
              <w:right w:val="single" w:color="000000" w:sz="4" w:space="0"/>
              <w:tl2br w:val="nil"/>
              <w:tr2bl w:val="nil"/>
            </w:tcBorders>
            <w:vAlign w:val="center"/>
          </w:tcPr>
          <w:p w14:paraId="653C0F31">
            <w:pPr>
              <w:jc w:val="center"/>
              <w:rPr>
                <w:rFonts w:hAnsi="宋体"/>
                <w:szCs w:val="21"/>
              </w:rPr>
            </w:pPr>
            <w:r>
              <w:rPr>
                <w:rFonts w:hint="eastAsia" w:hAnsi="宋体"/>
                <w:szCs w:val="21"/>
              </w:rPr>
              <w:t>很低</w:t>
            </w:r>
          </w:p>
        </w:tc>
        <w:tc>
          <w:tcPr>
            <w:tcW w:w="900" w:type="dxa"/>
            <w:tcBorders>
              <w:left w:val="single" w:color="000000" w:sz="4" w:space="0"/>
              <w:bottom w:val="single" w:color="000000" w:sz="4" w:space="0"/>
              <w:right w:val="single" w:color="000000" w:sz="4" w:space="0"/>
              <w:tl2br w:val="nil"/>
              <w:tr2bl w:val="nil"/>
            </w:tcBorders>
            <w:vAlign w:val="center"/>
          </w:tcPr>
          <w:p w14:paraId="7451270C">
            <w:pPr>
              <w:jc w:val="center"/>
              <w:rPr>
                <w:rFonts w:hAnsi="宋体"/>
                <w:szCs w:val="21"/>
              </w:rPr>
            </w:pPr>
            <w:r>
              <w:rPr>
                <w:rFonts w:hint="eastAsia" w:hAnsi="宋体"/>
                <w:szCs w:val="21"/>
              </w:rPr>
              <w:t>较小</w:t>
            </w:r>
          </w:p>
        </w:tc>
        <w:tc>
          <w:tcPr>
            <w:tcW w:w="906" w:type="dxa"/>
            <w:tcBorders>
              <w:left w:val="single" w:color="000000" w:sz="4" w:space="0"/>
              <w:bottom w:val="single" w:color="000000" w:sz="4" w:space="0"/>
              <w:tl2br w:val="nil"/>
              <w:tr2bl w:val="nil"/>
            </w:tcBorders>
            <w:vAlign w:val="center"/>
          </w:tcPr>
          <w:p w14:paraId="1A0A7ED2">
            <w:pPr>
              <w:jc w:val="center"/>
              <w:rPr>
                <w:rFonts w:hAnsi="宋体"/>
                <w:szCs w:val="21"/>
              </w:rPr>
            </w:pPr>
            <w:r>
              <w:rPr>
                <w:rFonts w:hint="eastAsia" w:hAnsi="宋体"/>
                <w:szCs w:val="21"/>
              </w:rPr>
              <w:t>微小</w:t>
            </w:r>
          </w:p>
        </w:tc>
      </w:tr>
      <w:tr w14:paraId="3C07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2" w:type="dxa"/>
            <w:tcBorders>
              <w:bottom w:val="single" w:color="000000" w:sz="4" w:space="0"/>
              <w:right w:val="single" w:color="000000" w:sz="4" w:space="0"/>
              <w:tl2br w:val="nil"/>
              <w:tr2bl w:val="nil"/>
            </w:tcBorders>
            <w:vAlign w:val="center"/>
          </w:tcPr>
          <w:p w14:paraId="33305CC5">
            <w:pPr>
              <w:jc w:val="center"/>
              <w:rPr>
                <w:rFonts w:ascii="宋体" w:hAnsi="宋体" w:cs="宋体"/>
                <w:sz w:val="24"/>
              </w:rPr>
            </w:pPr>
            <w:r>
              <w:rPr>
                <w:rFonts w:hint="eastAsia" w:ascii="宋体" w:hAnsi="宋体" w:cs="宋体"/>
                <w:sz w:val="24"/>
              </w:rPr>
              <w:t>2</w:t>
            </w:r>
          </w:p>
        </w:tc>
        <w:tc>
          <w:tcPr>
            <w:tcW w:w="1395" w:type="dxa"/>
            <w:tcBorders>
              <w:left w:val="single" w:color="000000" w:sz="4" w:space="0"/>
              <w:bottom w:val="single" w:color="000000" w:sz="4" w:space="0"/>
              <w:tl2br w:val="nil"/>
              <w:tr2bl w:val="nil"/>
            </w:tcBorders>
            <w:vAlign w:val="center"/>
          </w:tcPr>
          <w:p w14:paraId="3E711A33">
            <w:pPr>
              <w:jc w:val="center"/>
              <w:rPr>
                <w:rFonts w:ascii="宋体" w:hAnsi="宋体"/>
              </w:rPr>
            </w:pPr>
            <w:r>
              <w:rPr>
                <w:rFonts w:hint="eastAsia"/>
              </w:rPr>
              <w:t>决策可行性</w:t>
            </w:r>
          </w:p>
        </w:tc>
        <w:tc>
          <w:tcPr>
            <w:tcW w:w="3525" w:type="dxa"/>
            <w:tcBorders>
              <w:bottom w:val="single" w:color="000000" w:sz="4" w:space="0"/>
              <w:right w:val="single" w:color="000000" w:sz="4" w:space="0"/>
              <w:tl2br w:val="nil"/>
              <w:tr2bl w:val="nil"/>
            </w:tcBorders>
            <w:vAlign w:val="center"/>
          </w:tcPr>
          <w:p w14:paraId="7061C1D4">
            <w:pPr>
              <w:jc w:val="left"/>
              <w:rPr>
                <w:rFonts w:ascii="宋体" w:hAnsi="宋体"/>
              </w:rPr>
            </w:pPr>
            <w:r>
              <w:rPr>
                <w:rFonts w:hint="eastAsia" w:ascii="宋体" w:hAnsi="宋体"/>
              </w:rPr>
              <w:t>各级政府政策对布局规划是否支持</w:t>
            </w:r>
          </w:p>
        </w:tc>
        <w:tc>
          <w:tcPr>
            <w:tcW w:w="900" w:type="dxa"/>
            <w:tcBorders>
              <w:left w:val="single" w:color="000000" w:sz="4" w:space="0"/>
              <w:bottom w:val="single" w:color="000000" w:sz="4" w:space="0"/>
              <w:right w:val="single" w:color="000000" w:sz="4" w:space="0"/>
              <w:tl2br w:val="nil"/>
              <w:tr2bl w:val="nil"/>
            </w:tcBorders>
            <w:vAlign w:val="center"/>
          </w:tcPr>
          <w:p w14:paraId="0B59D3A5">
            <w:pPr>
              <w:jc w:val="center"/>
              <w:rPr>
                <w:rFonts w:ascii="宋体" w:hAnsi="宋体"/>
              </w:rPr>
            </w:pPr>
            <w:r>
              <w:rPr>
                <w:rFonts w:hint="eastAsia" w:ascii="宋体" w:hAnsi="宋体"/>
              </w:rPr>
              <w:t>很低</w:t>
            </w:r>
          </w:p>
        </w:tc>
        <w:tc>
          <w:tcPr>
            <w:tcW w:w="900" w:type="dxa"/>
            <w:tcBorders>
              <w:left w:val="single" w:color="000000" w:sz="4" w:space="0"/>
              <w:bottom w:val="single" w:color="000000" w:sz="4" w:space="0"/>
              <w:right w:val="single" w:color="000000" w:sz="4" w:space="0"/>
              <w:tl2br w:val="nil"/>
              <w:tr2bl w:val="nil"/>
            </w:tcBorders>
            <w:vAlign w:val="center"/>
          </w:tcPr>
          <w:p w14:paraId="75463A59">
            <w:pPr>
              <w:jc w:val="center"/>
              <w:rPr>
                <w:rFonts w:hAnsi="宋体"/>
                <w:szCs w:val="21"/>
              </w:rPr>
            </w:pPr>
            <w:r>
              <w:rPr>
                <w:rFonts w:hint="eastAsia" w:hAnsi="宋体"/>
                <w:szCs w:val="21"/>
              </w:rPr>
              <w:t>中等</w:t>
            </w:r>
          </w:p>
        </w:tc>
        <w:tc>
          <w:tcPr>
            <w:tcW w:w="906" w:type="dxa"/>
            <w:tcBorders>
              <w:left w:val="single" w:color="000000" w:sz="4" w:space="0"/>
              <w:bottom w:val="single" w:color="000000" w:sz="4" w:space="0"/>
              <w:tl2br w:val="nil"/>
              <w:tr2bl w:val="nil"/>
            </w:tcBorders>
            <w:vAlign w:val="center"/>
          </w:tcPr>
          <w:p w14:paraId="3CBB7543">
            <w:pPr>
              <w:jc w:val="center"/>
              <w:rPr>
                <w:rFonts w:hAnsi="宋体"/>
                <w:szCs w:val="21"/>
              </w:rPr>
            </w:pPr>
            <w:r>
              <w:rPr>
                <w:rFonts w:hint="eastAsia" w:hAnsi="宋体"/>
                <w:szCs w:val="21"/>
              </w:rPr>
              <w:t>较小</w:t>
            </w:r>
          </w:p>
        </w:tc>
      </w:tr>
      <w:tr w14:paraId="00D3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2" w:type="dxa"/>
            <w:tcBorders>
              <w:bottom w:val="single" w:color="000000" w:sz="4" w:space="0"/>
              <w:right w:val="single" w:color="000000" w:sz="4" w:space="0"/>
              <w:tl2br w:val="nil"/>
              <w:tr2bl w:val="nil"/>
            </w:tcBorders>
            <w:vAlign w:val="center"/>
          </w:tcPr>
          <w:p w14:paraId="0139DC46">
            <w:pPr>
              <w:jc w:val="center"/>
              <w:rPr>
                <w:rFonts w:ascii="宋体" w:hAnsi="宋体" w:cs="宋体"/>
                <w:sz w:val="24"/>
              </w:rPr>
            </w:pPr>
            <w:r>
              <w:rPr>
                <w:rFonts w:hint="eastAsia" w:ascii="宋体" w:hAnsi="宋体" w:cs="宋体"/>
                <w:sz w:val="24"/>
              </w:rPr>
              <w:t>3</w:t>
            </w:r>
          </w:p>
        </w:tc>
        <w:tc>
          <w:tcPr>
            <w:tcW w:w="1395" w:type="dxa"/>
            <w:tcBorders>
              <w:left w:val="single" w:color="000000" w:sz="4" w:space="0"/>
              <w:bottom w:val="single" w:color="000000" w:sz="4" w:space="0"/>
              <w:tl2br w:val="nil"/>
              <w:tr2bl w:val="nil"/>
            </w:tcBorders>
            <w:vAlign w:val="center"/>
          </w:tcPr>
          <w:p w14:paraId="03102F46">
            <w:pPr>
              <w:jc w:val="center"/>
              <w:rPr>
                <w:rFonts w:ascii="宋体" w:hAnsi="宋体"/>
              </w:rPr>
            </w:pPr>
            <w:r>
              <w:rPr>
                <w:rFonts w:hint="eastAsia"/>
              </w:rPr>
              <w:t>决策可行性</w:t>
            </w:r>
          </w:p>
        </w:tc>
        <w:tc>
          <w:tcPr>
            <w:tcW w:w="3525" w:type="dxa"/>
            <w:tcBorders>
              <w:bottom w:val="single" w:color="000000" w:sz="4" w:space="0"/>
              <w:right w:val="single" w:color="000000" w:sz="4" w:space="0"/>
              <w:tl2br w:val="nil"/>
              <w:tr2bl w:val="nil"/>
            </w:tcBorders>
            <w:vAlign w:val="center"/>
          </w:tcPr>
          <w:p w14:paraId="35576B47">
            <w:pPr>
              <w:jc w:val="left"/>
              <w:rPr>
                <w:rFonts w:ascii="宋体" w:hAnsi="宋体"/>
              </w:rPr>
            </w:pPr>
            <w:r>
              <w:rPr>
                <w:rFonts w:hint="eastAsia" w:ascii="宋体" w:hAnsi="宋体"/>
              </w:rPr>
              <w:t>各布局点周边基础配套设施受否齐全</w:t>
            </w:r>
          </w:p>
        </w:tc>
        <w:tc>
          <w:tcPr>
            <w:tcW w:w="900" w:type="dxa"/>
            <w:tcBorders>
              <w:left w:val="single" w:color="000000" w:sz="4" w:space="0"/>
              <w:bottom w:val="single" w:color="000000" w:sz="4" w:space="0"/>
              <w:right w:val="single" w:color="000000" w:sz="4" w:space="0"/>
              <w:tl2br w:val="nil"/>
              <w:tr2bl w:val="nil"/>
            </w:tcBorders>
            <w:vAlign w:val="center"/>
          </w:tcPr>
          <w:p w14:paraId="55F8BD67">
            <w:pPr>
              <w:jc w:val="center"/>
              <w:rPr>
                <w:rFonts w:ascii="宋体" w:hAnsi="宋体"/>
              </w:rPr>
            </w:pPr>
            <w:r>
              <w:rPr>
                <w:rFonts w:hint="eastAsia" w:ascii="宋体" w:hAnsi="宋体"/>
              </w:rPr>
              <w:t>很低</w:t>
            </w:r>
          </w:p>
        </w:tc>
        <w:tc>
          <w:tcPr>
            <w:tcW w:w="900" w:type="dxa"/>
            <w:tcBorders>
              <w:left w:val="single" w:color="000000" w:sz="4" w:space="0"/>
              <w:bottom w:val="single" w:color="000000" w:sz="4" w:space="0"/>
              <w:right w:val="single" w:color="000000" w:sz="4" w:space="0"/>
              <w:tl2br w:val="nil"/>
              <w:tr2bl w:val="nil"/>
            </w:tcBorders>
            <w:vAlign w:val="center"/>
          </w:tcPr>
          <w:p w14:paraId="2A279CC4">
            <w:pPr>
              <w:jc w:val="center"/>
              <w:rPr>
                <w:rFonts w:hAnsi="宋体"/>
                <w:szCs w:val="21"/>
              </w:rPr>
            </w:pPr>
            <w:r>
              <w:rPr>
                <w:rFonts w:hint="eastAsia" w:hAnsi="宋体"/>
                <w:szCs w:val="21"/>
              </w:rPr>
              <w:t>较小</w:t>
            </w:r>
          </w:p>
        </w:tc>
        <w:tc>
          <w:tcPr>
            <w:tcW w:w="906" w:type="dxa"/>
            <w:tcBorders>
              <w:left w:val="single" w:color="000000" w:sz="4" w:space="0"/>
              <w:bottom w:val="single" w:color="000000" w:sz="4" w:space="0"/>
              <w:tl2br w:val="nil"/>
              <w:tr2bl w:val="nil"/>
            </w:tcBorders>
            <w:vAlign w:val="center"/>
          </w:tcPr>
          <w:p w14:paraId="64077C11">
            <w:pPr>
              <w:jc w:val="center"/>
              <w:rPr>
                <w:rFonts w:hAnsi="宋体"/>
                <w:szCs w:val="21"/>
              </w:rPr>
            </w:pPr>
            <w:r>
              <w:rPr>
                <w:rFonts w:hint="eastAsia" w:hAnsi="宋体"/>
                <w:szCs w:val="21"/>
              </w:rPr>
              <w:t>微小</w:t>
            </w:r>
          </w:p>
        </w:tc>
      </w:tr>
      <w:tr w14:paraId="168F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2" w:type="dxa"/>
            <w:tcBorders>
              <w:bottom w:val="single" w:color="000000" w:sz="4" w:space="0"/>
              <w:right w:val="single" w:color="000000" w:sz="4" w:space="0"/>
              <w:tl2br w:val="nil"/>
              <w:tr2bl w:val="nil"/>
            </w:tcBorders>
            <w:vAlign w:val="center"/>
          </w:tcPr>
          <w:p w14:paraId="0565675C">
            <w:pPr>
              <w:jc w:val="center"/>
              <w:rPr>
                <w:rFonts w:ascii="宋体" w:hAnsi="宋体" w:cs="宋体"/>
                <w:sz w:val="24"/>
              </w:rPr>
            </w:pPr>
            <w:r>
              <w:rPr>
                <w:rFonts w:hint="eastAsia" w:ascii="宋体" w:hAnsi="宋体" w:cs="宋体"/>
                <w:sz w:val="24"/>
              </w:rPr>
              <w:t>4</w:t>
            </w:r>
          </w:p>
        </w:tc>
        <w:tc>
          <w:tcPr>
            <w:tcW w:w="1395" w:type="dxa"/>
            <w:tcBorders>
              <w:left w:val="single" w:color="000000" w:sz="4" w:space="0"/>
              <w:bottom w:val="single" w:color="000000" w:sz="4" w:space="0"/>
              <w:tl2br w:val="nil"/>
              <w:tr2bl w:val="nil"/>
            </w:tcBorders>
            <w:vAlign w:val="center"/>
          </w:tcPr>
          <w:p w14:paraId="3B0DEFD5">
            <w:pPr>
              <w:jc w:val="center"/>
              <w:rPr>
                <w:rFonts w:ascii="宋体" w:hAnsi="宋体"/>
              </w:rPr>
            </w:pPr>
            <w:r>
              <w:rPr>
                <w:rFonts w:hint="eastAsia"/>
              </w:rPr>
              <w:t>公平性</w:t>
            </w:r>
          </w:p>
        </w:tc>
        <w:tc>
          <w:tcPr>
            <w:tcW w:w="3525" w:type="dxa"/>
            <w:tcBorders>
              <w:bottom w:val="single" w:color="000000" w:sz="4" w:space="0"/>
              <w:right w:val="single" w:color="000000" w:sz="4" w:space="0"/>
              <w:tl2br w:val="nil"/>
              <w:tr2bl w:val="nil"/>
            </w:tcBorders>
            <w:vAlign w:val="center"/>
          </w:tcPr>
          <w:p w14:paraId="03B655CB">
            <w:pPr>
              <w:jc w:val="left"/>
              <w:rPr>
                <w:rFonts w:ascii="宋体" w:hAnsi="宋体"/>
              </w:rPr>
            </w:pPr>
            <w:r>
              <w:rPr>
                <w:rFonts w:hint="eastAsia" w:ascii="宋体" w:hAnsi="宋体"/>
              </w:rPr>
              <w:t>是否能够解决“入园难、入园贵”的问题</w:t>
            </w:r>
          </w:p>
        </w:tc>
        <w:tc>
          <w:tcPr>
            <w:tcW w:w="900" w:type="dxa"/>
            <w:tcBorders>
              <w:left w:val="single" w:color="000000" w:sz="4" w:space="0"/>
              <w:bottom w:val="single" w:color="000000" w:sz="4" w:space="0"/>
              <w:right w:val="single" w:color="000000" w:sz="4" w:space="0"/>
              <w:tl2br w:val="nil"/>
              <w:tr2bl w:val="nil"/>
            </w:tcBorders>
            <w:vAlign w:val="center"/>
          </w:tcPr>
          <w:p w14:paraId="3D984233">
            <w:pPr>
              <w:jc w:val="center"/>
              <w:rPr>
                <w:rFonts w:ascii="宋体" w:hAnsi="宋体"/>
              </w:rPr>
            </w:pPr>
            <w:r>
              <w:rPr>
                <w:rFonts w:hint="eastAsia" w:ascii="宋体" w:hAnsi="宋体"/>
              </w:rPr>
              <w:t>较低</w:t>
            </w:r>
          </w:p>
        </w:tc>
        <w:tc>
          <w:tcPr>
            <w:tcW w:w="900" w:type="dxa"/>
            <w:tcBorders>
              <w:left w:val="single" w:color="000000" w:sz="4" w:space="0"/>
              <w:bottom w:val="single" w:color="000000" w:sz="4" w:space="0"/>
              <w:right w:val="single" w:color="000000" w:sz="4" w:space="0"/>
              <w:tl2br w:val="nil"/>
              <w:tr2bl w:val="nil"/>
            </w:tcBorders>
            <w:vAlign w:val="center"/>
          </w:tcPr>
          <w:p w14:paraId="4885B9EC">
            <w:pPr>
              <w:jc w:val="center"/>
              <w:rPr>
                <w:rFonts w:hAnsi="宋体"/>
                <w:szCs w:val="21"/>
              </w:rPr>
            </w:pPr>
            <w:r>
              <w:rPr>
                <w:rFonts w:hint="eastAsia" w:hAnsi="宋体"/>
                <w:szCs w:val="21"/>
              </w:rPr>
              <w:t>较小</w:t>
            </w:r>
          </w:p>
        </w:tc>
        <w:tc>
          <w:tcPr>
            <w:tcW w:w="906" w:type="dxa"/>
            <w:tcBorders>
              <w:left w:val="single" w:color="000000" w:sz="4" w:space="0"/>
              <w:bottom w:val="single" w:color="000000" w:sz="4" w:space="0"/>
              <w:tl2br w:val="nil"/>
              <w:tr2bl w:val="nil"/>
            </w:tcBorders>
            <w:vAlign w:val="center"/>
          </w:tcPr>
          <w:p w14:paraId="3ABFC5A9">
            <w:pPr>
              <w:jc w:val="center"/>
              <w:rPr>
                <w:rFonts w:hAnsi="宋体"/>
                <w:szCs w:val="21"/>
              </w:rPr>
            </w:pPr>
            <w:r>
              <w:rPr>
                <w:rFonts w:hint="eastAsia" w:hAnsi="宋体"/>
                <w:szCs w:val="21"/>
              </w:rPr>
              <w:t>较小</w:t>
            </w:r>
          </w:p>
        </w:tc>
      </w:tr>
      <w:tr w14:paraId="295E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2" w:type="dxa"/>
            <w:tcBorders>
              <w:bottom w:val="single" w:color="000000" w:sz="4" w:space="0"/>
              <w:right w:val="single" w:color="000000" w:sz="4" w:space="0"/>
              <w:tl2br w:val="nil"/>
              <w:tr2bl w:val="nil"/>
            </w:tcBorders>
            <w:vAlign w:val="center"/>
          </w:tcPr>
          <w:p w14:paraId="61DD3386">
            <w:pPr>
              <w:jc w:val="center"/>
              <w:rPr>
                <w:rFonts w:ascii="宋体" w:hAnsi="宋体" w:cs="宋体"/>
                <w:sz w:val="24"/>
              </w:rPr>
            </w:pPr>
            <w:r>
              <w:rPr>
                <w:rFonts w:hint="eastAsia" w:ascii="宋体" w:hAnsi="宋体" w:cs="宋体"/>
                <w:sz w:val="24"/>
              </w:rPr>
              <w:t>5</w:t>
            </w:r>
          </w:p>
        </w:tc>
        <w:tc>
          <w:tcPr>
            <w:tcW w:w="1395" w:type="dxa"/>
            <w:tcBorders>
              <w:left w:val="single" w:color="000000" w:sz="4" w:space="0"/>
              <w:bottom w:val="single" w:color="000000" w:sz="4" w:space="0"/>
              <w:tl2br w:val="nil"/>
              <w:tr2bl w:val="nil"/>
            </w:tcBorders>
            <w:vAlign w:val="center"/>
          </w:tcPr>
          <w:p w14:paraId="16531B2C">
            <w:pPr>
              <w:jc w:val="center"/>
              <w:rPr>
                <w:rFonts w:ascii="宋体" w:hAnsi="宋体"/>
              </w:rPr>
            </w:pPr>
            <w:r>
              <w:rPr>
                <w:rFonts w:hint="eastAsia"/>
              </w:rPr>
              <w:t>公平性</w:t>
            </w:r>
          </w:p>
        </w:tc>
        <w:tc>
          <w:tcPr>
            <w:tcW w:w="3525" w:type="dxa"/>
            <w:tcBorders>
              <w:bottom w:val="single" w:color="000000" w:sz="4" w:space="0"/>
              <w:right w:val="single" w:color="000000" w:sz="4" w:space="0"/>
              <w:tl2br w:val="nil"/>
              <w:tr2bl w:val="nil"/>
            </w:tcBorders>
            <w:vAlign w:val="center"/>
          </w:tcPr>
          <w:p w14:paraId="7DD5FAD4">
            <w:pPr>
              <w:jc w:val="left"/>
              <w:rPr>
                <w:rFonts w:ascii="宋体" w:hAnsi="宋体"/>
              </w:rPr>
            </w:pPr>
            <w:r>
              <w:rPr>
                <w:rFonts w:hint="eastAsia" w:ascii="宋体" w:hAnsi="宋体"/>
              </w:rPr>
              <w:t>各幼儿园师资力量是否相对均匀</w:t>
            </w:r>
          </w:p>
        </w:tc>
        <w:tc>
          <w:tcPr>
            <w:tcW w:w="900" w:type="dxa"/>
            <w:tcBorders>
              <w:left w:val="single" w:color="000000" w:sz="4" w:space="0"/>
              <w:bottom w:val="single" w:color="000000" w:sz="4" w:space="0"/>
              <w:right w:val="single" w:color="000000" w:sz="4" w:space="0"/>
              <w:tl2br w:val="nil"/>
              <w:tr2bl w:val="nil"/>
            </w:tcBorders>
            <w:vAlign w:val="center"/>
          </w:tcPr>
          <w:p w14:paraId="2A9A26DF">
            <w:pPr>
              <w:jc w:val="center"/>
              <w:rPr>
                <w:rFonts w:ascii="宋体" w:hAnsi="宋体"/>
              </w:rPr>
            </w:pPr>
            <w:r>
              <w:rPr>
                <w:rFonts w:hint="eastAsia" w:ascii="宋体" w:hAnsi="宋体"/>
              </w:rPr>
              <w:t>中等</w:t>
            </w:r>
          </w:p>
        </w:tc>
        <w:tc>
          <w:tcPr>
            <w:tcW w:w="900" w:type="dxa"/>
            <w:tcBorders>
              <w:left w:val="single" w:color="000000" w:sz="4" w:space="0"/>
              <w:bottom w:val="single" w:color="000000" w:sz="4" w:space="0"/>
              <w:right w:val="single" w:color="000000" w:sz="4" w:space="0"/>
              <w:tl2br w:val="nil"/>
              <w:tr2bl w:val="nil"/>
            </w:tcBorders>
            <w:vAlign w:val="center"/>
          </w:tcPr>
          <w:p w14:paraId="77CABA1E">
            <w:pPr>
              <w:jc w:val="center"/>
              <w:rPr>
                <w:rFonts w:hAnsi="宋体"/>
                <w:szCs w:val="21"/>
              </w:rPr>
            </w:pPr>
            <w:r>
              <w:rPr>
                <w:rFonts w:hint="eastAsia" w:hAnsi="宋体"/>
                <w:szCs w:val="21"/>
              </w:rPr>
              <w:t>较小</w:t>
            </w:r>
          </w:p>
        </w:tc>
        <w:tc>
          <w:tcPr>
            <w:tcW w:w="906" w:type="dxa"/>
            <w:tcBorders>
              <w:left w:val="single" w:color="000000" w:sz="4" w:space="0"/>
              <w:bottom w:val="single" w:color="000000" w:sz="4" w:space="0"/>
              <w:tl2br w:val="nil"/>
              <w:tr2bl w:val="nil"/>
            </w:tcBorders>
            <w:vAlign w:val="center"/>
          </w:tcPr>
          <w:p w14:paraId="46FD524B">
            <w:pPr>
              <w:jc w:val="center"/>
              <w:rPr>
                <w:rFonts w:hAnsi="宋体"/>
                <w:szCs w:val="21"/>
              </w:rPr>
            </w:pPr>
            <w:r>
              <w:rPr>
                <w:rFonts w:hint="eastAsia" w:hAnsi="宋体"/>
                <w:szCs w:val="21"/>
              </w:rPr>
              <w:t>较小</w:t>
            </w:r>
          </w:p>
        </w:tc>
      </w:tr>
      <w:tr w14:paraId="55F1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2" w:type="dxa"/>
            <w:tcBorders>
              <w:bottom w:val="single" w:color="000000" w:sz="4" w:space="0"/>
              <w:right w:val="single" w:color="000000" w:sz="4" w:space="0"/>
              <w:tl2br w:val="nil"/>
              <w:tr2bl w:val="nil"/>
            </w:tcBorders>
            <w:vAlign w:val="center"/>
          </w:tcPr>
          <w:p w14:paraId="1C60A64B">
            <w:pPr>
              <w:jc w:val="center"/>
              <w:rPr>
                <w:rFonts w:ascii="宋体" w:hAnsi="宋体" w:cs="宋体"/>
                <w:sz w:val="24"/>
              </w:rPr>
            </w:pPr>
            <w:r>
              <w:rPr>
                <w:rFonts w:hint="eastAsia" w:ascii="宋体" w:hAnsi="宋体" w:cs="宋体"/>
                <w:sz w:val="24"/>
              </w:rPr>
              <w:t>6</w:t>
            </w:r>
          </w:p>
        </w:tc>
        <w:tc>
          <w:tcPr>
            <w:tcW w:w="1395" w:type="dxa"/>
            <w:tcBorders>
              <w:left w:val="single" w:color="000000" w:sz="4" w:space="0"/>
              <w:bottom w:val="single" w:color="000000" w:sz="4" w:space="0"/>
              <w:tl2br w:val="nil"/>
              <w:tr2bl w:val="nil"/>
            </w:tcBorders>
            <w:vAlign w:val="center"/>
          </w:tcPr>
          <w:p w14:paraId="447493F1">
            <w:pPr>
              <w:jc w:val="center"/>
              <w:rPr>
                <w:rFonts w:ascii="宋体" w:hAnsi="宋体"/>
              </w:rPr>
            </w:pPr>
            <w:r>
              <w:rPr>
                <w:rFonts w:hint="eastAsia"/>
              </w:rPr>
              <w:t>决策可行性</w:t>
            </w:r>
          </w:p>
        </w:tc>
        <w:tc>
          <w:tcPr>
            <w:tcW w:w="3525" w:type="dxa"/>
            <w:tcBorders>
              <w:bottom w:val="single" w:color="000000" w:sz="4" w:space="0"/>
              <w:right w:val="single" w:color="000000" w:sz="4" w:space="0"/>
              <w:tl2br w:val="nil"/>
              <w:tr2bl w:val="nil"/>
            </w:tcBorders>
            <w:vAlign w:val="center"/>
          </w:tcPr>
          <w:p w14:paraId="09F547FD">
            <w:pPr>
              <w:jc w:val="left"/>
              <w:rPr>
                <w:rFonts w:ascii="宋体" w:hAnsi="宋体"/>
              </w:rPr>
            </w:pPr>
            <w:r>
              <w:rPr>
                <w:rFonts w:hint="eastAsia" w:ascii="宋体" w:hAnsi="宋体"/>
              </w:rPr>
              <w:t>布局对周边居民生活是否有影响</w:t>
            </w:r>
          </w:p>
        </w:tc>
        <w:tc>
          <w:tcPr>
            <w:tcW w:w="900" w:type="dxa"/>
            <w:tcBorders>
              <w:left w:val="single" w:color="000000" w:sz="4" w:space="0"/>
              <w:bottom w:val="single" w:color="000000" w:sz="4" w:space="0"/>
              <w:right w:val="single" w:color="000000" w:sz="4" w:space="0"/>
              <w:tl2br w:val="nil"/>
              <w:tr2bl w:val="nil"/>
            </w:tcBorders>
            <w:vAlign w:val="center"/>
          </w:tcPr>
          <w:p w14:paraId="2A61B030">
            <w:pPr>
              <w:jc w:val="center"/>
              <w:rPr>
                <w:rFonts w:ascii="宋体" w:hAnsi="宋体"/>
              </w:rPr>
            </w:pPr>
            <w:r>
              <w:rPr>
                <w:rFonts w:hint="eastAsia" w:ascii="宋体" w:hAnsi="宋体"/>
              </w:rPr>
              <w:t>中等</w:t>
            </w:r>
          </w:p>
        </w:tc>
        <w:tc>
          <w:tcPr>
            <w:tcW w:w="900" w:type="dxa"/>
            <w:tcBorders>
              <w:left w:val="single" w:color="000000" w:sz="4" w:space="0"/>
              <w:bottom w:val="single" w:color="000000" w:sz="4" w:space="0"/>
              <w:right w:val="single" w:color="000000" w:sz="4" w:space="0"/>
              <w:tl2br w:val="nil"/>
              <w:tr2bl w:val="nil"/>
            </w:tcBorders>
            <w:vAlign w:val="center"/>
          </w:tcPr>
          <w:p w14:paraId="749EF2EF">
            <w:pPr>
              <w:jc w:val="center"/>
              <w:rPr>
                <w:rFonts w:hAnsi="宋体"/>
                <w:szCs w:val="21"/>
              </w:rPr>
            </w:pPr>
            <w:r>
              <w:rPr>
                <w:rFonts w:hint="eastAsia" w:hAnsi="宋体"/>
                <w:szCs w:val="21"/>
              </w:rPr>
              <w:t>中等</w:t>
            </w:r>
          </w:p>
        </w:tc>
        <w:tc>
          <w:tcPr>
            <w:tcW w:w="906" w:type="dxa"/>
            <w:tcBorders>
              <w:left w:val="single" w:color="000000" w:sz="4" w:space="0"/>
              <w:bottom w:val="single" w:color="000000" w:sz="4" w:space="0"/>
              <w:tl2br w:val="nil"/>
              <w:tr2bl w:val="nil"/>
            </w:tcBorders>
            <w:vAlign w:val="center"/>
          </w:tcPr>
          <w:p w14:paraId="51B64C0C">
            <w:pPr>
              <w:jc w:val="center"/>
              <w:rPr>
                <w:rFonts w:hAnsi="宋体"/>
                <w:szCs w:val="21"/>
              </w:rPr>
            </w:pPr>
            <w:r>
              <w:rPr>
                <w:rFonts w:hint="eastAsia" w:hAnsi="宋体"/>
                <w:szCs w:val="21"/>
              </w:rPr>
              <w:t>一般</w:t>
            </w:r>
          </w:p>
        </w:tc>
      </w:tr>
      <w:tr w14:paraId="0AC5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2" w:type="dxa"/>
            <w:tcBorders>
              <w:bottom w:val="single" w:color="000000" w:sz="4" w:space="0"/>
              <w:right w:val="single" w:color="000000" w:sz="4" w:space="0"/>
              <w:tl2br w:val="nil"/>
              <w:tr2bl w:val="nil"/>
            </w:tcBorders>
            <w:vAlign w:val="center"/>
          </w:tcPr>
          <w:p w14:paraId="0C1C0060">
            <w:pPr>
              <w:jc w:val="center"/>
              <w:rPr>
                <w:rFonts w:ascii="宋体" w:hAnsi="宋体" w:cs="宋体"/>
                <w:sz w:val="24"/>
              </w:rPr>
            </w:pPr>
            <w:r>
              <w:rPr>
                <w:rFonts w:hint="eastAsia" w:ascii="宋体" w:hAnsi="宋体" w:cs="宋体"/>
                <w:sz w:val="24"/>
              </w:rPr>
              <w:t>7</w:t>
            </w:r>
          </w:p>
        </w:tc>
        <w:tc>
          <w:tcPr>
            <w:tcW w:w="1395" w:type="dxa"/>
            <w:tcBorders>
              <w:left w:val="single" w:color="000000" w:sz="4" w:space="0"/>
              <w:bottom w:val="single" w:color="000000" w:sz="4" w:space="0"/>
              <w:tl2br w:val="nil"/>
              <w:tr2bl w:val="nil"/>
            </w:tcBorders>
            <w:vAlign w:val="center"/>
          </w:tcPr>
          <w:p w14:paraId="69339111">
            <w:pPr>
              <w:jc w:val="center"/>
              <w:rPr>
                <w:rFonts w:ascii="宋体" w:hAnsi="宋体"/>
              </w:rPr>
            </w:pPr>
            <w:r>
              <w:rPr>
                <w:rFonts w:hint="eastAsia"/>
              </w:rPr>
              <w:t>安全可控性</w:t>
            </w:r>
          </w:p>
        </w:tc>
        <w:tc>
          <w:tcPr>
            <w:tcW w:w="3525" w:type="dxa"/>
            <w:tcBorders>
              <w:bottom w:val="single" w:color="000000" w:sz="4" w:space="0"/>
              <w:right w:val="single" w:color="000000" w:sz="4" w:space="0"/>
              <w:tl2br w:val="nil"/>
              <w:tr2bl w:val="nil"/>
            </w:tcBorders>
            <w:vAlign w:val="center"/>
          </w:tcPr>
          <w:p w14:paraId="75BF2806">
            <w:pPr>
              <w:jc w:val="left"/>
              <w:rPr>
                <w:rFonts w:ascii="宋体" w:hAnsi="宋体"/>
              </w:rPr>
            </w:pPr>
            <w:r>
              <w:rPr>
                <w:rFonts w:hint="eastAsia" w:ascii="宋体" w:hAnsi="宋体"/>
              </w:rPr>
              <w:t>幼儿园周边环境对儿童是否存在安全隐患</w:t>
            </w:r>
          </w:p>
        </w:tc>
        <w:tc>
          <w:tcPr>
            <w:tcW w:w="900" w:type="dxa"/>
            <w:tcBorders>
              <w:left w:val="single" w:color="000000" w:sz="4" w:space="0"/>
              <w:bottom w:val="single" w:color="000000" w:sz="4" w:space="0"/>
              <w:right w:val="single" w:color="000000" w:sz="4" w:space="0"/>
              <w:tl2br w:val="nil"/>
              <w:tr2bl w:val="nil"/>
            </w:tcBorders>
            <w:vAlign w:val="center"/>
          </w:tcPr>
          <w:p w14:paraId="2112DC34">
            <w:pPr>
              <w:jc w:val="center"/>
              <w:rPr>
                <w:rFonts w:ascii="宋体" w:hAnsi="宋体"/>
              </w:rPr>
            </w:pPr>
            <w:r>
              <w:rPr>
                <w:rFonts w:hint="eastAsia" w:ascii="宋体" w:hAnsi="宋体"/>
              </w:rPr>
              <w:t>较低</w:t>
            </w:r>
          </w:p>
        </w:tc>
        <w:tc>
          <w:tcPr>
            <w:tcW w:w="900" w:type="dxa"/>
            <w:tcBorders>
              <w:left w:val="single" w:color="000000" w:sz="4" w:space="0"/>
              <w:bottom w:val="single" w:color="000000" w:sz="4" w:space="0"/>
              <w:right w:val="single" w:color="000000" w:sz="4" w:space="0"/>
              <w:tl2br w:val="nil"/>
              <w:tr2bl w:val="nil"/>
            </w:tcBorders>
            <w:vAlign w:val="center"/>
          </w:tcPr>
          <w:p w14:paraId="3785AEE6">
            <w:pPr>
              <w:jc w:val="center"/>
              <w:rPr>
                <w:rFonts w:hAnsi="宋体"/>
                <w:szCs w:val="21"/>
              </w:rPr>
            </w:pPr>
            <w:r>
              <w:rPr>
                <w:rFonts w:hint="eastAsia" w:hAnsi="宋体"/>
                <w:szCs w:val="21"/>
              </w:rPr>
              <w:t>中等</w:t>
            </w:r>
          </w:p>
        </w:tc>
        <w:tc>
          <w:tcPr>
            <w:tcW w:w="906" w:type="dxa"/>
            <w:tcBorders>
              <w:left w:val="single" w:color="000000" w:sz="4" w:space="0"/>
              <w:bottom w:val="single" w:color="000000" w:sz="4" w:space="0"/>
              <w:tl2br w:val="nil"/>
              <w:tr2bl w:val="nil"/>
            </w:tcBorders>
            <w:vAlign w:val="center"/>
          </w:tcPr>
          <w:p w14:paraId="2413F0C0">
            <w:pPr>
              <w:jc w:val="center"/>
              <w:rPr>
                <w:rFonts w:hAnsi="宋体"/>
                <w:szCs w:val="21"/>
              </w:rPr>
            </w:pPr>
            <w:r>
              <w:rPr>
                <w:rFonts w:hint="eastAsia" w:hAnsi="宋体"/>
                <w:szCs w:val="21"/>
              </w:rPr>
              <w:t>较小</w:t>
            </w:r>
          </w:p>
        </w:tc>
      </w:tr>
      <w:tr w14:paraId="221C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2" w:type="dxa"/>
            <w:tcBorders>
              <w:bottom w:val="single" w:color="000000" w:sz="4" w:space="0"/>
              <w:right w:val="single" w:color="000000" w:sz="4" w:space="0"/>
              <w:tl2br w:val="nil"/>
              <w:tr2bl w:val="nil"/>
            </w:tcBorders>
            <w:vAlign w:val="center"/>
          </w:tcPr>
          <w:p w14:paraId="137B8E27">
            <w:pPr>
              <w:jc w:val="center"/>
              <w:rPr>
                <w:rFonts w:ascii="宋体" w:hAnsi="宋体" w:cs="宋体"/>
                <w:sz w:val="24"/>
              </w:rPr>
            </w:pPr>
            <w:r>
              <w:rPr>
                <w:rFonts w:hint="eastAsia" w:ascii="宋体" w:hAnsi="宋体" w:cs="宋体"/>
                <w:sz w:val="24"/>
              </w:rPr>
              <w:t>8</w:t>
            </w:r>
          </w:p>
        </w:tc>
        <w:tc>
          <w:tcPr>
            <w:tcW w:w="1395" w:type="dxa"/>
            <w:tcBorders>
              <w:left w:val="single" w:color="000000" w:sz="4" w:space="0"/>
              <w:bottom w:val="single" w:color="000000" w:sz="4" w:space="0"/>
              <w:tl2br w:val="nil"/>
              <w:tr2bl w:val="nil"/>
            </w:tcBorders>
            <w:vAlign w:val="center"/>
          </w:tcPr>
          <w:p w14:paraId="0E240E72">
            <w:pPr>
              <w:jc w:val="center"/>
              <w:rPr>
                <w:rFonts w:ascii="宋体" w:hAnsi="宋体"/>
              </w:rPr>
            </w:pPr>
            <w:r>
              <w:rPr>
                <w:rFonts w:hint="eastAsia"/>
              </w:rPr>
              <w:t>决策执行力</w:t>
            </w:r>
          </w:p>
        </w:tc>
        <w:tc>
          <w:tcPr>
            <w:tcW w:w="3525" w:type="dxa"/>
            <w:tcBorders>
              <w:bottom w:val="single" w:color="000000" w:sz="4" w:space="0"/>
              <w:right w:val="single" w:color="000000" w:sz="4" w:space="0"/>
              <w:tl2br w:val="nil"/>
              <w:tr2bl w:val="nil"/>
            </w:tcBorders>
            <w:vAlign w:val="center"/>
          </w:tcPr>
          <w:p w14:paraId="7AAFD9CA">
            <w:pPr>
              <w:jc w:val="left"/>
              <w:rPr>
                <w:rFonts w:ascii="宋体" w:hAnsi="宋体"/>
              </w:rPr>
            </w:pPr>
            <w:r>
              <w:rPr>
                <w:rFonts w:hint="eastAsia" w:ascii="宋体" w:hAnsi="宋体"/>
              </w:rPr>
              <w:t>规划实施工作及资金落实情况是否对规划实施有影响</w:t>
            </w:r>
          </w:p>
        </w:tc>
        <w:tc>
          <w:tcPr>
            <w:tcW w:w="900" w:type="dxa"/>
            <w:tcBorders>
              <w:left w:val="single" w:color="000000" w:sz="4" w:space="0"/>
              <w:bottom w:val="single" w:color="000000" w:sz="4" w:space="0"/>
              <w:right w:val="single" w:color="000000" w:sz="4" w:space="0"/>
              <w:tl2br w:val="nil"/>
              <w:tr2bl w:val="nil"/>
            </w:tcBorders>
            <w:vAlign w:val="center"/>
          </w:tcPr>
          <w:p w14:paraId="23FB1AC1">
            <w:pPr>
              <w:jc w:val="center"/>
              <w:rPr>
                <w:rFonts w:hAnsi="宋体"/>
                <w:szCs w:val="21"/>
              </w:rPr>
            </w:pPr>
            <w:r>
              <w:rPr>
                <w:rFonts w:hint="eastAsia" w:hAnsi="宋体"/>
                <w:szCs w:val="21"/>
              </w:rPr>
              <w:t>很低</w:t>
            </w:r>
          </w:p>
        </w:tc>
        <w:tc>
          <w:tcPr>
            <w:tcW w:w="900" w:type="dxa"/>
            <w:tcBorders>
              <w:left w:val="single" w:color="000000" w:sz="4" w:space="0"/>
              <w:bottom w:val="single" w:color="000000" w:sz="4" w:space="0"/>
              <w:right w:val="single" w:color="000000" w:sz="4" w:space="0"/>
              <w:tl2br w:val="nil"/>
              <w:tr2bl w:val="nil"/>
            </w:tcBorders>
            <w:vAlign w:val="center"/>
          </w:tcPr>
          <w:p w14:paraId="0AD1C1E5">
            <w:pPr>
              <w:jc w:val="center"/>
              <w:rPr>
                <w:rFonts w:hAnsi="宋体"/>
                <w:szCs w:val="21"/>
              </w:rPr>
            </w:pPr>
            <w:r>
              <w:rPr>
                <w:rFonts w:hint="eastAsia" w:hAnsi="宋体"/>
                <w:szCs w:val="21"/>
              </w:rPr>
              <w:t>较小</w:t>
            </w:r>
          </w:p>
        </w:tc>
        <w:tc>
          <w:tcPr>
            <w:tcW w:w="906" w:type="dxa"/>
            <w:tcBorders>
              <w:left w:val="single" w:color="000000" w:sz="4" w:space="0"/>
              <w:bottom w:val="single" w:color="000000" w:sz="4" w:space="0"/>
              <w:tl2br w:val="nil"/>
              <w:tr2bl w:val="nil"/>
            </w:tcBorders>
            <w:vAlign w:val="center"/>
          </w:tcPr>
          <w:p w14:paraId="57D46920">
            <w:pPr>
              <w:jc w:val="center"/>
              <w:rPr>
                <w:rFonts w:hAnsi="宋体"/>
                <w:szCs w:val="21"/>
              </w:rPr>
            </w:pPr>
            <w:r>
              <w:rPr>
                <w:rFonts w:hint="eastAsia" w:hAnsi="宋体"/>
                <w:szCs w:val="21"/>
              </w:rPr>
              <w:t>微小</w:t>
            </w:r>
          </w:p>
        </w:tc>
      </w:tr>
    </w:tbl>
    <w:p w14:paraId="72AEB4E4">
      <w:pPr>
        <w:spacing w:line="560" w:lineRule="exact"/>
        <w:ind w:firstLine="562" w:firstLineChars="200"/>
        <w:rPr>
          <w:rFonts w:ascii="宋体" w:hAnsi="宋体"/>
          <w:b/>
          <w:sz w:val="28"/>
          <w:szCs w:val="28"/>
        </w:rPr>
      </w:pPr>
      <w:r>
        <w:rPr>
          <w:rFonts w:hint="eastAsia" w:ascii="宋体" w:hAnsi="宋体"/>
          <w:b/>
          <w:sz w:val="28"/>
          <w:szCs w:val="28"/>
        </w:rPr>
        <w:t>（四）单因素风险定量分析</w:t>
      </w:r>
    </w:p>
    <w:p w14:paraId="20D40956">
      <w:pPr>
        <w:spacing w:line="560" w:lineRule="exact"/>
        <w:ind w:firstLine="560" w:firstLineChars="200"/>
        <w:rPr>
          <w:rFonts w:ascii="宋体" w:hAnsi="宋体"/>
          <w:sz w:val="28"/>
          <w:szCs w:val="28"/>
        </w:rPr>
      </w:pPr>
      <w:r>
        <w:rPr>
          <w:rFonts w:hint="eastAsia" w:ascii="宋体" w:hAnsi="宋体"/>
          <w:sz w:val="28"/>
          <w:szCs w:val="28"/>
        </w:rPr>
        <w:t>在决策单风险因素的风险概率和影响程度估计的基础上，按公式（风险程度=风险概率×影响程度）可得到每个风险因素的风险程度（见表-5）。</w:t>
      </w:r>
    </w:p>
    <w:p w14:paraId="5D92F2DB">
      <w:pPr>
        <w:sectPr>
          <w:footerReference r:id="rId3" w:type="default"/>
          <w:pgSz w:w="11906" w:h="16838"/>
          <w:pgMar w:top="1440" w:right="1800" w:bottom="1440" w:left="1800" w:header="851" w:footer="992" w:gutter="0"/>
          <w:pgNumType w:start="1"/>
          <w:cols w:space="425" w:num="1"/>
          <w:docGrid w:type="lines" w:linePitch="312" w:charSpace="0"/>
        </w:sectPr>
      </w:pPr>
    </w:p>
    <w:p w14:paraId="0D515A70">
      <w:pPr>
        <w:spacing w:line="360" w:lineRule="auto"/>
        <w:ind w:firstLine="480" w:firstLineChars="200"/>
        <w:jc w:val="center"/>
        <w:rPr>
          <w:rFonts w:ascii="宋体" w:hAnsi="宋体" w:cs="宋体"/>
          <w:sz w:val="24"/>
        </w:rPr>
      </w:pPr>
      <w:r>
        <w:rPr>
          <w:rFonts w:hint="eastAsia" w:ascii="宋体" w:hAnsi="宋体" w:cs="宋体"/>
          <w:sz w:val="24"/>
        </w:rPr>
        <w:t>表</w:t>
      </w:r>
      <w:r>
        <w:rPr>
          <w:rFonts w:ascii="宋体" w:hAnsi="宋体" w:cs="宋体"/>
          <w:sz w:val="24"/>
        </w:rPr>
        <w:t>-5</w:t>
      </w:r>
      <w:r>
        <w:rPr>
          <w:rFonts w:hint="eastAsia" w:ascii="宋体" w:hAnsi="宋体" w:cs="宋体"/>
          <w:sz w:val="24"/>
        </w:rPr>
        <w:t>《规划》决策主要风险因素及其风险程度打分汇总表</w:t>
      </w:r>
    </w:p>
    <w:tbl>
      <w:tblPr>
        <w:tblStyle w:val="5"/>
        <w:tblpPr w:leftFromText="180" w:rightFromText="180" w:vertAnchor="text" w:horzAnchor="page" w:tblpX="1536" w:tblpY="18"/>
        <w:tblOverlap w:val="never"/>
        <w:tblW w:w="138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6285"/>
        <w:gridCol w:w="1425"/>
        <w:gridCol w:w="1395"/>
        <w:gridCol w:w="1425"/>
        <w:gridCol w:w="1305"/>
        <w:gridCol w:w="1351"/>
      </w:tblGrid>
      <w:tr w14:paraId="6E16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2060C4D9">
            <w:pPr>
              <w:jc w:val="center"/>
              <w:rPr>
                <w:sz w:val="18"/>
                <w:szCs w:val="18"/>
              </w:rPr>
            </w:pPr>
            <w:r>
              <w:rPr>
                <w:rFonts w:hAnsi="宋体"/>
                <w:sz w:val="18"/>
                <w:szCs w:val="18"/>
              </w:rPr>
              <w:t>序号</w:t>
            </w:r>
          </w:p>
        </w:tc>
        <w:tc>
          <w:tcPr>
            <w:tcW w:w="6285" w:type="dxa"/>
            <w:vAlign w:val="center"/>
          </w:tcPr>
          <w:p w14:paraId="7659B899">
            <w:pPr>
              <w:jc w:val="center"/>
              <w:rPr>
                <w:rFonts w:hAnsi="宋体"/>
                <w:sz w:val="18"/>
                <w:szCs w:val="18"/>
              </w:rPr>
            </w:pPr>
            <w:r>
              <w:rPr>
                <w:rFonts w:hAnsi="宋体"/>
                <w:sz w:val="18"/>
                <w:szCs w:val="18"/>
              </w:rPr>
              <w:t>风险因素</w:t>
            </w:r>
          </w:p>
        </w:tc>
        <w:tc>
          <w:tcPr>
            <w:tcW w:w="1425" w:type="dxa"/>
            <w:vAlign w:val="center"/>
          </w:tcPr>
          <w:p w14:paraId="0EF973F0">
            <w:pPr>
              <w:jc w:val="center"/>
              <w:rPr>
                <w:sz w:val="18"/>
                <w:szCs w:val="18"/>
              </w:rPr>
            </w:pPr>
            <w:r>
              <w:rPr>
                <w:rFonts w:hAnsi="宋体"/>
                <w:sz w:val="18"/>
                <w:szCs w:val="18"/>
              </w:rPr>
              <w:t>风险概率</w:t>
            </w:r>
            <w:r>
              <w:rPr>
                <w:rFonts w:hint="eastAsia" w:hAnsi="宋体"/>
                <w:sz w:val="18"/>
                <w:szCs w:val="18"/>
              </w:rPr>
              <w:t>（P）</w:t>
            </w:r>
          </w:p>
        </w:tc>
        <w:tc>
          <w:tcPr>
            <w:tcW w:w="1395" w:type="dxa"/>
            <w:vAlign w:val="center"/>
          </w:tcPr>
          <w:p w14:paraId="76B62DDA">
            <w:pPr>
              <w:jc w:val="center"/>
              <w:rPr>
                <w:sz w:val="18"/>
                <w:szCs w:val="18"/>
              </w:rPr>
            </w:pPr>
            <w:r>
              <w:rPr>
                <w:rFonts w:hAnsi="宋体"/>
                <w:sz w:val="18"/>
                <w:szCs w:val="18"/>
              </w:rPr>
              <w:t>影响程度</w:t>
            </w:r>
            <w:r>
              <w:rPr>
                <w:rFonts w:hint="eastAsia" w:hAnsi="宋体"/>
                <w:sz w:val="18"/>
                <w:szCs w:val="18"/>
              </w:rPr>
              <w:t>（Q）</w:t>
            </w:r>
          </w:p>
        </w:tc>
        <w:tc>
          <w:tcPr>
            <w:tcW w:w="1425" w:type="dxa"/>
            <w:vAlign w:val="center"/>
          </w:tcPr>
          <w:p w14:paraId="6F89700B">
            <w:pPr>
              <w:jc w:val="center"/>
              <w:rPr>
                <w:sz w:val="18"/>
                <w:szCs w:val="18"/>
              </w:rPr>
            </w:pPr>
            <w:r>
              <w:rPr>
                <w:rFonts w:hAnsi="宋体"/>
                <w:sz w:val="18"/>
                <w:szCs w:val="18"/>
              </w:rPr>
              <w:t>风险程度</w:t>
            </w:r>
            <w:r>
              <w:rPr>
                <w:rFonts w:hint="eastAsia" w:hAnsi="宋体"/>
                <w:sz w:val="18"/>
                <w:szCs w:val="18"/>
              </w:rPr>
              <w:t>（R）</w:t>
            </w:r>
          </w:p>
        </w:tc>
        <w:tc>
          <w:tcPr>
            <w:tcW w:w="1305" w:type="dxa"/>
            <w:vAlign w:val="center"/>
          </w:tcPr>
          <w:p w14:paraId="1318CDA0">
            <w:pPr>
              <w:jc w:val="center"/>
              <w:rPr>
                <w:rFonts w:hAnsi="宋体" w:eastAsia="宋体"/>
                <w:sz w:val="18"/>
                <w:szCs w:val="18"/>
              </w:rPr>
            </w:pPr>
            <w:r>
              <w:rPr>
                <w:rFonts w:hint="eastAsia" w:hAnsi="宋体"/>
                <w:sz w:val="18"/>
                <w:szCs w:val="18"/>
              </w:rPr>
              <w:t>权重（I）</w:t>
            </w:r>
          </w:p>
        </w:tc>
        <w:tc>
          <w:tcPr>
            <w:tcW w:w="1351" w:type="dxa"/>
            <w:vAlign w:val="center"/>
          </w:tcPr>
          <w:p w14:paraId="703CB7C9">
            <w:pPr>
              <w:jc w:val="center"/>
              <w:rPr>
                <w:rFonts w:hAnsi="宋体" w:eastAsia="宋体"/>
                <w:sz w:val="18"/>
                <w:szCs w:val="18"/>
              </w:rPr>
            </w:pPr>
            <w:r>
              <w:rPr>
                <w:rFonts w:hint="eastAsia" w:hAnsi="宋体"/>
                <w:sz w:val="18"/>
                <w:szCs w:val="18"/>
              </w:rPr>
              <w:t>风险指数（T=R</w:t>
            </w:r>
            <w:r>
              <w:rPr>
                <w:rFonts w:ascii="Arial" w:hAnsi="Arial" w:cs="Arial"/>
                <w:sz w:val="18"/>
                <w:szCs w:val="18"/>
              </w:rPr>
              <w:t>×</w:t>
            </w:r>
            <w:r>
              <w:rPr>
                <w:rFonts w:hint="eastAsia" w:hAnsi="宋体"/>
                <w:sz w:val="18"/>
                <w:szCs w:val="18"/>
              </w:rPr>
              <w:t>I）</w:t>
            </w:r>
          </w:p>
        </w:tc>
      </w:tr>
      <w:tr w14:paraId="59EC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6B7C8D0D">
            <w:pPr>
              <w:jc w:val="center"/>
              <w:rPr>
                <w:sz w:val="18"/>
                <w:szCs w:val="18"/>
              </w:rPr>
            </w:pPr>
            <w:r>
              <w:rPr>
                <w:sz w:val="18"/>
                <w:szCs w:val="18"/>
              </w:rPr>
              <w:t>1</w:t>
            </w:r>
          </w:p>
        </w:tc>
        <w:tc>
          <w:tcPr>
            <w:tcW w:w="6285" w:type="dxa"/>
          </w:tcPr>
          <w:p w14:paraId="5423226E">
            <w:pPr>
              <w:jc w:val="left"/>
              <w:rPr>
                <w:rFonts w:hAnsi="宋体"/>
                <w:sz w:val="18"/>
                <w:szCs w:val="18"/>
              </w:rPr>
            </w:pPr>
            <w:r>
              <w:rPr>
                <w:rFonts w:hint="eastAsia" w:hAnsi="宋体"/>
                <w:sz w:val="18"/>
                <w:szCs w:val="18"/>
              </w:rPr>
              <w:t>听证、公示等公众参与程序的合法性</w:t>
            </w:r>
          </w:p>
        </w:tc>
        <w:tc>
          <w:tcPr>
            <w:tcW w:w="1425" w:type="dxa"/>
            <w:vAlign w:val="center"/>
          </w:tcPr>
          <w:p w14:paraId="74963AD9">
            <w:pPr>
              <w:jc w:val="center"/>
              <w:rPr>
                <w:rFonts w:ascii="Calibri" w:hAnsi="Calibri" w:eastAsia="宋体" w:cs="Calibri"/>
                <w:color w:val="000000"/>
                <w:sz w:val="18"/>
                <w:szCs w:val="18"/>
              </w:rPr>
            </w:pPr>
            <w:r>
              <w:rPr>
                <w:rFonts w:ascii="Calibri" w:hAnsi="Calibri" w:cs="Calibri"/>
                <w:color w:val="000000"/>
                <w:sz w:val="18"/>
                <w:szCs w:val="18"/>
              </w:rPr>
              <w:t xml:space="preserve">0.10 </w:t>
            </w:r>
          </w:p>
        </w:tc>
        <w:tc>
          <w:tcPr>
            <w:tcW w:w="1395" w:type="dxa"/>
            <w:vAlign w:val="center"/>
          </w:tcPr>
          <w:p w14:paraId="3A37674C">
            <w:pPr>
              <w:jc w:val="center"/>
              <w:rPr>
                <w:rFonts w:ascii="Calibri" w:hAnsi="Calibri" w:eastAsia="宋体" w:cs="Calibri"/>
                <w:color w:val="000000"/>
                <w:sz w:val="18"/>
                <w:szCs w:val="18"/>
              </w:rPr>
            </w:pPr>
            <w:r>
              <w:rPr>
                <w:rFonts w:ascii="Calibri" w:hAnsi="Calibri" w:cs="Calibri"/>
                <w:color w:val="000000"/>
                <w:sz w:val="18"/>
                <w:szCs w:val="18"/>
              </w:rPr>
              <w:t xml:space="preserve">0.24 </w:t>
            </w:r>
          </w:p>
        </w:tc>
        <w:tc>
          <w:tcPr>
            <w:tcW w:w="1425" w:type="dxa"/>
            <w:vAlign w:val="center"/>
          </w:tcPr>
          <w:p w14:paraId="0207CB87">
            <w:pPr>
              <w:jc w:val="center"/>
              <w:rPr>
                <w:rFonts w:ascii="Calibri" w:hAnsi="Calibri" w:eastAsia="宋体" w:cs="Calibri"/>
                <w:color w:val="000000"/>
                <w:sz w:val="18"/>
                <w:szCs w:val="18"/>
              </w:rPr>
            </w:pPr>
            <w:r>
              <w:rPr>
                <w:rFonts w:ascii="Calibri" w:hAnsi="Calibri" w:cs="Calibri"/>
                <w:color w:val="000000"/>
                <w:sz w:val="18"/>
                <w:szCs w:val="18"/>
              </w:rPr>
              <w:t xml:space="preserve">0.0240 </w:t>
            </w:r>
          </w:p>
        </w:tc>
        <w:tc>
          <w:tcPr>
            <w:tcW w:w="1305" w:type="dxa"/>
            <w:vAlign w:val="center"/>
          </w:tcPr>
          <w:p w14:paraId="46535756">
            <w:pPr>
              <w:jc w:val="center"/>
              <w:rPr>
                <w:rFonts w:ascii="Times New Roman" w:hAnsi="Times New Roman" w:eastAsia="宋体" w:cs="Times New Roman"/>
                <w:color w:val="000000"/>
                <w:sz w:val="18"/>
                <w:szCs w:val="18"/>
              </w:rPr>
            </w:pPr>
            <w:r>
              <w:rPr>
                <w:rFonts w:ascii="Times New Roman" w:hAnsi="Times New Roman" w:cs="Times New Roman"/>
                <w:color w:val="000000"/>
                <w:sz w:val="18"/>
                <w:szCs w:val="18"/>
              </w:rPr>
              <w:t xml:space="preserve">0.0560 </w:t>
            </w:r>
          </w:p>
        </w:tc>
        <w:tc>
          <w:tcPr>
            <w:tcW w:w="1351" w:type="dxa"/>
            <w:vAlign w:val="center"/>
          </w:tcPr>
          <w:p w14:paraId="7BB10A20">
            <w:pPr>
              <w:jc w:val="center"/>
              <w:rPr>
                <w:rFonts w:ascii="Times New Roman" w:hAnsi="Times New Roman" w:eastAsia="宋体" w:cs="Times New Roman"/>
                <w:color w:val="000000"/>
                <w:sz w:val="18"/>
                <w:szCs w:val="18"/>
              </w:rPr>
            </w:pPr>
            <w:r>
              <w:rPr>
                <w:rFonts w:ascii="Times New Roman" w:hAnsi="Times New Roman" w:cs="Times New Roman"/>
                <w:color w:val="000000"/>
                <w:sz w:val="18"/>
                <w:szCs w:val="18"/>
              </w:rPr>
              <w:t xml:space="preserve">0.001344 </w:t>
            </w:r>
          </w:p>
        </w:tc>
      </w:tr>
      <w:tr w14:paraId="4E66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705" w:type="dxa"/>
            <w:vAlign w:val="center"/>
          </w:tcPr>
          <w:p w14:paraId="13D2D692">
            <w:pPr>
              <w:jc w:val="center"/>
              <w:rPr>
                <w:rFonts w:eastAsia="宋体"/>
                <w:sz w:val="18"/>
                <w:szCs w:val="18"/>
              </w:rPr>
            </w:pPr>
            <w:r>
              <w:rPr>
                <w:rFonts w:hint="eastAsia"/>
                <w:sz w:val="18"/>
                <w:szCs w:val="18"/>
              </w:rPr>
              <w:t>2</w:t>
            </w:r>
          </w:p>
        </w:tc>
        <w:tc>
          <w:tcPr>
            <w:tcW w:w="6285" w:type="dxa"/>
          </w:tcPr>
          <w:p w14:paraId="18CB4CC5">
            <w:pPr>
              <w:jc w:val="left"/>
              <w:rPr>
                <w:rFonts w:hAnsi="宋体"/>
                <w:sz w:val="18"/>
                <w:szCs w:val="18"/>
              </w:rPr>
            </w:pPr>
            <w:r>
              <w:rPr>
                <w:rFonts w:hint="eastAsia" w:hAnsi="宋体"/>
                <w:sz w:val="18"/>
                <w:szCs w:val="18"/>
              </w:rPr>
              <w:t>各级政府政策对布局规划是否支持</w:t>
            </w:r>
          </w:p>
        </w:tc>
        <w:tc>
          <w:tcPr>
            <w:tcW w:w="1425" w:type="dxa"/>
            <w:vAlign w:val="center"/>
          </w:tcPr>
          <w:p w14:paraId="3209D7D5">
            <w:pPr>
              <w:jc w:val="center"/>
              <w:rPr>
                <w:rFonts w:ascii="Calibri" w:hAnsi="Calibri" w:eastAsia="宋体" w:cs="Calibri"/>
                <w:color w:val="000000"/>
                <w:sz w:val="18"/>
                <w:szCs w:val="18"/>
              </w:rPr>
            </w:pPr>
            <w:r>
              <w:rPr>
                <w:rFonts w:ascii="Calibri" w:hAnsi="Calibri" w:cs="Calibri"/>
                <w:color w:val="000000"/>
                <w:sz w:val="18"/>
                <w:szCs w:val="18"/>
              </w:rPr>
              <w:t xml:space="preserve">0.15 </w:t>
            </w:r>
          </w:p>
        </w:tc>
        <w:tc>
          <w:tcPr>
            <w:tcW w:w="1395" w:type="dxa"/>
            <w:vAlign w:val="center"/>
          </w:tcPr>
          <w:p w14:paraId="717A1482">
            <w:pPr>
              <w:jc w:val="center"/>
              <w:rPr>
                <w:rFonts w:ascii="Calibri" w:hAnsi="Calibri" w:eastAsia="宋体" w:cs="Calibri"/>
                <w:color w:val="000000"/>
                <w:sz w:val="18"/>
                <w:szCs w:val="18"/>
              </w:rPr>
            </w:pPr>
            <w:r>
              <w:rPr>
                <w:rFonts w:ascii="Calibri" w:hAnsi="Calibri" w:cs="Calibri"/>
                <w:color w:val="000000"/>
                <w:sz w:val="18"/>
                <w:szCs w:val="18"/>
              </w:rPr>
              <w:t xml:space="preserve">0.46 </w:t>
            </w:r>
          </w:p>
        </w:tc>
        <w:tc>
          <w:tcPr>
            <w:tcW w:w="1425" w:type="dxa"/>
            <w:vAlign w:val="center"/>
          </w:tcPr>
          <w:p w14:paraId="03A7443B">
            <w:pPr>
              <w:jc w:val="center"/>
              <w:rPr>
                <w:rFonts w:ascii="Calibri" w:hAnsi="Calibri" w:eastAsia="宋体" w:cs="Calibri"/>
                <w:color w:val="000000"/>
                <w:sz w:val="18"/>
                <w:szCs w:val="18"/>
              </w:rPr>
            </w:pPr>
            <w:r>
              <w:rPr>
                <w:rFonts w:ascii="Calibri" w:hAnsi="Calibri" w:cs="Calibri"/>
                <w:color w:val="000000"/>
                <w:sz w:val="18"/>
                <w:szCs w:val="18"/>
              </w:rPr>
              <w:t xml:space="preserve">0.0690 </w:t>
            </w:r>
          </w:p>
        </w:tc>
        <w:tc>
          <w:tcPr>
            <w:tcW w:w="1305" w:type="dxa"/>
            <w:vAlign w:val="center"/>
          </w:tcPr>
          <w:p w14:paraId="4F5D3828">
            <w:pPr>
              <w:jc w:val="center"/>
              <w:rPr>
                <w:rFonts w:ascii="Times New Roman" w:hAnsi="Times New Roman" w:eastAsia="宋体" w:cs="Times New Roman"/>
                <w:color w:val="000000"/>
                <w:sz w:val="18"/>
                <w:szCs w:val="18"/>
              </w:rPr>
            </w:pPr>
            <w:r>
              <w:rPr>
                <w:rFonts w:ascii="Times New Roman" w:hAnsi="Times New Roman" w:cs="Times New Roman"/>
                <w:color w:val="000000"/>
                <w:sz w:val="18"/>
                <w:szCs w:val="18"/>
              </w:rPr>
              <w:t xml:space="preserve">0.1050 </w:t>
            </w:r>
          </w:p>
        </w:tc>
        <w:tc>
          <w:tcPr>
            <w:tcW w:w="1351" w:type="dxa"/>
            <w:vAlign w:val="center"/>
          </w:tcPr>
          <w:p w14:paraId="7CE189DC">
            <w:pPr>
              <w:jc w:val="center"/>
              <w:rPr>
                <w:rFonts w:ascii="Times New Roman" w:hAnsi="Times New Roman" w:eastAsia="宋体" w:cs="Times New Roman"/>
                <w:color w:val="000000"/>
                <w:sz w:val="18"/>
                <w:szCs w:val="18"/>
              </w:rPr>
            </w:pPr>
            <w:r>
              <w:rPr>
                <w:rFonts w:ascii="Times New Roman" w:hAnsi="Times New Roman" w:cs="Times New Roman"/>
                <w:color w:val="000000"/>
                <w:sz w:val="18"/>
                <w:szCs w:val="18"/>
              </w:rPr>
              <w:t xml:space="preserve">0.007245 </w:t>
            </w:r>
          </w:p>
        </w:tc>
      </w:tr>
      <w:tr w14:paraId="3B35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22B25E65">
            <w:pPr>
              <w:jc w:val="center"/>
              <w:rPr>
                <w:sz w:val="18"/>
                <w:szCs w:val="18"/>
              </w:rPr>
            </w:pPr>
            <w:r>
              <w:rPr>
                <w:rFonts w:hint="eastAsia"/>
                <w:sz w:val="18"/>
                <w:szCs w:val="18"/>
              </w:rPr>
              <w:t>3</w:t>
            </w:r>
          </w:p>
        </w:tc>
        <w:tc>
          <w:tcPr>
            <w:tcW w:w="6285" w:type="dxa"/>
          </w:tcPr>
          <w:p w14:paraId="4155CCF4">
            <w:pPr>
              <w:jc w:val="left"/>
              <w:rPr>
                <w:rFonts w:hAnsi="宋体"/>
                <w:sz w:val="18"/>
                <w:szCs w:val="18"/>
              </w:rPr>
            </w:pPr>
            <w:r>
              <w:rPr>
                <w:rFonts w:hint="eastAsia" w:hAnsi="宋体"/>
                <w:sz w:val="18"/>
                <w:szCs w:val="18"/>
              </w:rPr>
              <w:t>各布局点周边基础配套设施受否齐全</w:t>
            </w:r>
          </w:p>
        </w:tc>
        <w:tc>
          <w:tcPr>
            <w:tcW w:w="1425" w:type="dxa"/>
            <w:vAlign w:val="center"/>
          </w:tcPr>
          <w:p w14:paraId="0EC72614">
            <w:pPr>
              <w:jc w:val="center"/>
              <w:rPr>
                <w:rFonts w:ascii="Calibri" w:hAnsi="Calibri" w:eastAsia="宋体" w:cs="Calibri"/>
                <w:color w:val="000000"/>
                <w:sz w:val="18"/>
                <w:szCs w:val="18"/>
              </w:rPr>
            </w:pPr>
            <w:r>
              <w:rPr>
                <w:rFonts w:ascii="Calibri" w:hAnsi="Calibri" w:cs="Calibri"/>
                <w:color w:val="000000"/>
                <w:sz w:val="18"/>
                <w:szCs w:val="18"/>
              </w:rPr>
              <w:t xml:space="preserve">0.10 </w:t>
            </w:r>
          </w:p>
        </w:tc>
        <w:tc>
          <w:tcPr>
            <w:tcW w:w="1395" w:type="dxa"/>
            <w:vAlign w:val="center"/>
          </w:tcPr>
          <w:p w14:paraId="50902474">
            <w:pPr>
              <w:jc w:val="center"/>
              <w:rPr>
                <w:rFonts w:ascii="Calibri" w:hAnsi="Calibri" w:eastAsia="宋体" w:cs="Calibri"/>
                <w:color w:val="000000"/>
                <w:sz w:val="18"/>
                <w:szCs w:val="18"/>
              </w:rPr>
            </w:pPr>
            <w:r>
              <w:rPr>
                <w:rFonts w:ascii="Calibri" w:hAnsi="Calibri" w:cs="Calibri"/>
                <w:color w:val="000000"/>
                <w:sz w:val="18"/>
                <w:szCs w:val="18"/>
              </w:rPr>
              <w:t xml:space="preserve">0.18 </w:t>
            </w:r>
          </w:p>
        </w:tc>
        <w:tc>
          <w:tcPr>
            <w:tcW w:w="1425" w:type="dxa"/>
            <w:vAlign w:val="center"/>
          </w:tcPr>
          <w:p w14:paraId="66E8FD61">
            <w:pPr>
              <w:jc w:val="center"/>
              <w:rPr>
                <w:rFonts w:ascii="Calibri" w:hAnsi="Calibri" w:eastAsia="宋体" w:cs="Calibri"/>
                <w:color w:val="000000"/>
                <w:sz w:val="18"/>
                <w:szCs w:val="18"/>
              </w:rPr>
            </w:pPr>
            <w:r>
              <w:rPr>
                <w:rFonts w:ascii="Calibri" w:hAnsi="Calibri" w:cs="Calibri"/>
                <w:color w:val="000000"/>
                <w:sz w:val="18"/>
                <w:szCs w:val="18"/>
              </w:rPr>
              <w:t xml:space="preserve">0.0180 </w:t>
            </w:r>
          </w:p>
        </w:tc>
        <w:tc>
          <w:tcPr>
            <w:tcW w:w="1305" w:type="dxa"/>
            <w:vAlign w:val="center"/>
          </w:tcPr>
          <w:p w14:paraId="7F3B4C4F">
            <w:pPr>
              <w:jc w:val="center"/>
              <w:rPr>
                <w:rFonts w:ascii="Times New Roman" w:hAnsi="Times New Roman" w:eastAsia="宋体" w:cs="Times New Roman"/>
                <w:color w:val="000000"/>
                <w:sz w:val="18"/>
                <w:szCs w:val="18"/>
              </w:rPr>
            </w:pPr>
            <w:r>
              <w:rPr>
                <w:rFonts w:ascii="Times New Roman" w:hAnsi="Times New Roman" w:cs="Times New Roman"/>
                <w:color w:val="000000"/>
                <w:sz w:val="18"/>
                <w:szCs w:val="18"/>
              </w:rPr>
              <w:t xml:space="preserve">0.1140 </w:t>
            </w:r>
          </w:p>
        </w:tc>
        <w:tc>
          <w:tcPr>
            <w:tcW w:w="1351" w:type="dxa"/>
            <w:vAlign w:val="center"/>
          </w:tcPr>
          <w:p w14:paraId="06AC6DFE">
            <w:pPr>
              <w:jc w:val="center"/>
              <w:rPr>
                <w:rFonts w:ascii="Times New Roman" w:hAnsi="Times New Roman" w:eastAsia="宋体" w:cs="Times New Roman"/>
                <w:color w:val="000000"/>
                <w:sz w:val="18"/>
                <w:szCs w:val="18"/>
              </w:rPr>
            </w:pPr>
            <w:r>
              <w:rPr>
                <w:rFonts w:ascii="Times New Roman" w:hAnsi="Times New Roman" w:cs="Times New Roman"/>
                <w:color w:val="000000"/>
                <w:sz w:val="18"/>
                <w:szCs w:val="18"/>
              </w:rPr>
              <w:t xml:space="preserve">0.002052 </w:t>
            </w:r>
          </w:p>
        </w:tc>
      </w:tr>
      <w:tr w14:paraId="2DE30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7363E118">
            <w:pPr>
              <w:jc w:val="center"/>
              <w:rPr>
                <w:sz w:val="18"/>
                <w:szCs w:val="18"/>
              </w:rPr>
            </w:pPr>
            <w:r>
              <w:rPr>
                <w:rFonts w:hint="eastAsia"/>
                <w:sz w:val="18"/>
                <w:szCs w:val="18"/>
              </w:rPr>
              <w:t>4</w:t>
            </w:r>
          </w:p>
        </w:tc>
        <w:tc>
          <w:tcPr>
            <w:tcW w:w="6285" w:type="dxa"/>
          </w:tcPr>
          <w:p w14:paraId="44A1E3FA">
            <w:pPr>
              <w:jc w:val="left"/>
              <w:rPr>
                <w:rFonts w:hAnsi="宋体"/>
                <w:sz w:val="18"/>
                <w:szCs w:val="18"/>
              </w:rPr>
            </w:pPr>
            <w:r>
              <w:rPr>
                <w:rFonts w:hint="eastAsia" w:hAnsi="宋体"/>
                <w:sz w:val="18"/>
                <w:szCs w:val="18"/>
              </w:rPr>
              <w:t>是否能够解决“入园难、入园贵”的问题</w:t>
            </w:r>
          </w:p>
        </w:tc>
        <w:tc>
          <w:tcPr>
            <w:tcW w:w="1425" w:type="dxa"/>
            <w:vAlign w:val="center"/>
          </w:tcPr>
          <w:p w14:paraId="173D7F77">
            <w:pPr>
              <w:jc w:val="center"/>
              <w:rPr>
                <w:rFonts w:ascii="Calibri" w:hAnsi="Calibri" w:eastAsia="宋体" w:cs="Calibri"/>
                <w:color w:val="000000"/>
                <w:sz w:val="18"/>
                <w:szCs w:val="18"/>
              </w:rPr>
            </w:pPr>
            <w:r>
              <w:rPr>
                <w:rFonts w:ascii="Calibri" w:hAnsi="Calibri" w:cs="Calibri"/>
                <w:color w:val="000000"/>
                <w:sz w:val="18"/>
                <w:szCs w:val="18"/>
              </w:rPr>
              <w:t xml:space="preserve">0.30 </w:t>
            </w:r>
          </w:p>
        </w:tc>
        <w:tc>
          <w:tcPr>
            <w:tcW w:w="1395" w:type="dxa"/>
            <w:vAlign w:val="center"/>
          </w:tcPr>
          <w:p w14:paraId="7D5220BD">
            <w:pPr>
              <w:jc w:val="center"/>
              <w:rPr>
                <w:rFonts w:ascii="Calibri" w:hAnsi="Calibri" w:eastAsia="宋体" w:cs="Calibri"/>
                <w:color w:val="000000"/>
                <w:sz w:val="18"/>
                <w:szCs w:val="18"/>
              </w:rPr>
            </w:pPr>
            <w:r>
              <w:rPr>
                <w:rFonts w:ascii="Calibri" w:hAnsi="Calibri" w:cs="Calibri"/>
                <w:color w:val="000000"/>
                <w:sz w:val="18"/>
                <w:szCs w:val="18"/>
              </w:rPr>
              <w:t xml:space="preserve">0.22 </w:t>
            </w:r>
          </w:p>
        </w:tc>
        <w:tc>
          <w:tcPr>
            <w:tcW w:w="1425" w:type="dxa"/>
            <w:vAlign w:val="center"/>
          </w:tcPr>
          <w:p w14:paraId="4CADFBEC">
            <w:pPr>
              <w:jc w:val="center"/>
              <w:rPr>
                <w:rFonts w:ascii="Calibri" w:hAnsi="Calibri" w:eastAsia="宋体" w:cs="Calibri"/>
                <w:color w:val="000000"/>
                <w:sz w:val="18"/>
                <w:szCs w:val="18"/>
              </w:rPr>
            </w:pPr>
            <w:r>
              <w:rPr>
                <w:rFonts w:ascii="Calibri" w:hAnsi="Calibri" w:cs="Calibri"/>
                <w:color w:val="000000"/>
                <w:sz w:val="18"/>
                <w:szCs w:val="18"/>
              </w:rPr>
              <w:t xml:space="preserve">0.0660 </w:t>
            </w:r>
          </w:p>
        </w:tc>
        <w:tc>
          <w:tcPr>
            <w:tcW w:w="1305" w:type="dxa"/>
            <w:vAlign w:val="center"/>
          </w:tcPr>
          <w:p w14:paraId="53172F2C">
            <w:pPr>
              <w:jc w:val="center"/>
              <w:rPr>
                <w:rFonts w:ascii="Times New Roman" w:hAnsi="Times New Roman" w:eastAsia="宋体" w:cs="Times New Roman"/>
                <w:color w:val="000000"/>
                <w:sz w:val="18"/>
                <w:szCs w:val="18"/>
              </w:rPr>
            </w:pPr>
            <w:r>
              <w:rPr>
                <w:rFonts w:ascii="Times New Roman" w:hAnsi="Times New Roman" w:cs="Times New Roman"/>
                <w:color w:val="000000"/>
                <w:sz w:val="18"/>
                <w:szCs w:val="18"/>
              </w:rPr>
              <w:t xml:space="preserve">0.1250 </w:t>
            </w:r>
          </w:p>
        </w:tc>
        <w:tc>
          <w:tcPr>
            <w:tcW w:w="1351" w:type="dxa"/>
            <w:vAlign w:val="center"/>
          </w:tcPr>
          <w:p w14:paraId="3746EA64">
            <w:pPr>
              <w:jc w:val="center"/>
              <w:rPr>
                <w:rFonts w:ascii="Times New Roman" w:hAnsi="Times New Roman" w:eastAsia="宋体" w:cs="Times New Roman"/>
                <w:color w:val="000000"/>
                <w:sz w:val="18"/>
                <w:szCs w:val="18"/>
              </w:rPr>
            </w:pPr>
            <w:r>
              <w:rPr>
                <w:rFonts w:ascii="Times New Roman" w:hAnsi="Times New Roman" w:cs="Times New Roman"/>
                <w:color w:val="000000"/>
                <w:sz w:val="18"/>
                <w:szCs w:val="18"/>
              </w:rPr>
              <w:t xml:space="preserve">0.008250 </w:t>
            </w:r>
          </w:p>
        </w:tc>
      </w:tr>
      <w:tr w14:paraId="3A8A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5" w:type="dxa"/>
            <w:vAlign w:val="center"/>
          </w:tcPr>
          <w:p w14:paraId="32C7015E">
            <w:pPr>
              <w:jc w:val="center"/>
              <w:rPr>
                <w:rFonts w:eastAsia="宋体"/>
                <w:sz w:val="18"/>
                <w:szCs w:val="18"/>
              </w:rPr>
            </w:pPr>
            <w:r>
              <w:rPr>
                <w:rFonts w:hint="eastAsia"/>
                <w:sz w:val="18"/>
                <w:szCs w:val="18"/>
              </w:rPr>
              <w:t>5</w:t>
            </w:r>
          </w:p>
        </w:tc>
        <w:tc>
          <w:tcPr>
            <w:tcW w:w="6285" w:type="dxa"/>
          </w:tcPr>
          <w:p w14:paraId="6F01D6A7">
            <w:pPr>
              <w:jc w:val="left"/>
              <w:rPr>
                <w:rFonts w:hAnsi="宋体"/>
                <w:sz w:val="18"/>
                <w:szCs w:val="18"/>
              </w:rPr>
            </w:pPr>
            <w:r>
              <w:rPr>
                <w:rFonts w:hint="eastAsia" w:hAnsi="宋体"/>
                <w:sz w:val="18"/>
                <w:szCs w:val="18"/>
              </w:rPr>
              <w:t>各幼儿园师资力量是否相对均匀</w:t>
            </w:r>
          </w:p>
        </w:tc>
        <w:tc>
          <w:tcPr>
            <w:tcW w:w="1425" w:type="dxa"/>
            <w:vAlign w:val="center"/>
          </w:tcPr>
          <w:p w14:paraId="677AA94F">
            <w:pPr>
              <w:jc w:val="center"/>
              <w:rPr>
                <w:rFonts w:ascii="Calibri" w:hAnsi="Calibri" w:eastAsia="宋体" w:cs="Calibri"/>
                <w:color w:val="000000"/>
                <w:sz w:val="18"/>
                <w:szCs w:val="18"/>
              </w:rPr>
            </w:pPr>
            <w:r>
              <w:rPr>
                <w:rFonts w:ascii="Calibri" w:hAnsi="Calibri" w:cs="Calibri"/>
                <w:color w:val="000000"/>
                <w:sz w:val="18"/>
                <w:szCs w:val="18"/>
              </w:rPr>
              <w:t xml:space="preserve">0.50 </w:t>
            </w:r>
          </w:p>
        </w:tc>
        <w:tc>
          <w:tcPr>
            <w:tcW w:w="1395" w:type="dxa"/>
            <w:vAlign w:val="center"/>
          </w:tcPr>
          <w:p w14:paraId="4D5FB84C">
            <w:pPr>
              <w:jc w:val="center"/>
              <w:rPr>
                <w:rFonts w:ascii="Calibri" w:hAnsi="Calibri" w:eastAsia="宋体" w:cs="Calibri"/>
                <w:color w:val="000000"/>
                <w:sz w:val="18"/>
                <w:szCs w:val="18"/>
              </w:rPr>
            </w:pPr>
            <w:r>
              <w:rPr>
                <w:rFonts w:ascii="Calibri" w:hAnsi="Calibri" w:cs="Calibri"/>
                <w:color w:val="000000"/>
                <w:sz w:val="18"/>
                <w:szCs w:val="18"/>
              </w:rPr>
              <w:t xml:space="preserve">0.25 </w:t>
            </w:r>
          </w:p>
        </w:tc>
        <w:tc>
          <w:tcPr>
            <w:tcW w:w="1425" w:type="dxa"/>
            <w:vAlign w:val="center"/>
          </w:tcPr>
          <w:p w14:paraId="3E9421E7">
            <w:pPr>
              <w:jc w:val="center"/>
              <w:rPr>
                <w:rFonts w:ascii="Calibri" w:hAnsi="Calibri" w:eastAsia="宋体" w:cs="Calibri"/>
                <w:color w:val="000000"/>
                <w:sz w:val="18"/>
                <w:szCs w:val="18"/>
              </w:rPr>
            </w:pPr>
            <w:r>
              <w:rPr>
                <w:rFonts w:ascii="Calibri" w:hAnsi="Calibri" w:cs="Calibri"/>
                <w:color w:val="000000"/>
                <w:sz w:val="18"/>
                <w:szCs w:val="18"/>
              </w:rPr>
              <w:t xml:space="preserve">0.1250 </w:t>
            </w:r>
          </w:p>
        </w:tc>
        <w:tc>
          <w:tcPr>
            <w:tcW w:w="1305" w:type="dxa"/>
            <w:vAlign w:val="center"/>
          </w:tcPr>
          <w:p w14:paraId="3FBA5FDD">
            <w:pPr>
              <w:jc w:val="center"/>
              <w:rPr>
                <w:rFonts w:ascii="Times New Roman" w:hAnsi="Times New Roman" w:eastAsia="宋体" w:cs="Times New Roman"/>
                <w:color w:val="000000"/>
                <w:sz w:val="18"/>
                <w:szCs w:val="18"/>
              </w:rPr>
            </w:pPr>
            <w:r>
              <w:rPr>
                <w:rFonts w:ascii="Times New Roman" w:hAnsi="Times New Roman" w:cs="Times New Roman"/>
                <w:color w:val="000000"/>
                <w:sz w:val="18"/>
                <w:szCs w:val="18"/>
              </w:rPr>
              <w:t xml:space="preserve">0.1270 </w:t>
            </w:r>
          </w:p>
        </w:tc>
        <w:tc>
          <w:tcPr>
            <w:tcW w:w="1351" w:type="dxa"/>
            <w:vAlign w:val="center"/>
          </w:tcPr>
          <w:p w14:paraId="7122D581">
            <w:pPr>
              <w:jc w:val="center"/>
              <w:rPr>
                <w:rFonts w:ascii="Times New Roman" w:hAnsi="Times New Roman" w:eastAsia="宋体" w:cs="Times New Roman"/>
                <w:color w:val="000000"/>
                <w:sz w:val="18"/>
                <w:szCs w:val="18"/>
              </w:rPr>
            </w:pPr>
            <w:r>
              <w:rPr>
                <w:rFonts w:ascii="Times New Roman" w:hAnsi="Times New Roman" w:cs="Times New Roman"/>
                <w:color w:val="000000"/>
                <w:sz w:val="18"/>
                <w:szCs w:val="18"/>
              </w:rPr>
              <w:t xml:space="preserve">0.015875 </w:t>
            </w:r>
          </w:p>
        </w:tc>
      </w:tr>
      <w:tr w14:paraId="368B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67671F0F">
            <w:pPr>
              <w:jc w:val="center"/>
              <w:rPr>
                <w:rFonts w:eastAsia="宋体"/>
                <w:sz w:val="18"/>
                <w:szCs w:val="18"/>
              </w:rPr>
            </w:pPr>
            <w:r>
              <w:rPr>
                <w:rFonts w:hint="eastAsia"/>
                <w:sz w:val="18"/>
                <w:szCs w:val="18"/>
              </w:rPr>
              <w:t>6</w:t>
            </w:r>
          </w:p>
        </w:tc>
        <w:tc>
          <w:tcPr>
            <w:tcW w:w="6285" w:type="dxa"/>
          </w:tcPr>
          <w:p w14:paraId="61B9A817">
            <w:pPr>
              <w:jc w:val="left"/>
              <w:rPr>
                <w:rFonts w:hAnsi="宋体"/>
                <w:sz w:val="18"/>
                <w:szCs w:val="18"/>
              </w:rPr>
            </w:pPr>
            <w:r>
              <w:rPr>
                <w:rFonts w:hint="eastAsia" w:hAnsi="宋体"/>
                <w:sz w:val="18"/>
                <w:szCs w:val="18"/>
              </w:rPr>
              <w:t>布局对周边居民生活是否有影响</w:t>
            </w:r>
          </w:p>
        </w:tc>
        <w:tc>
          <w:tcPr>
            <w:tcW w:w="1425" w:type="dxa"/>
            <w:vAlign w:val="center"/>
          </w:tcPr>
          <w:p w14:paraId="54C837D2">
            <w:pPr>
              <w:jc w:val="center"/>
              <w:rPr>
                <w:rFonts w:ascii="Calibri" w:hAnsi="Calibri" w:eastAsia="宋体" w:cs="Calibri"/>
                <w:color w:val="000000"/>
                <w:sz w:val="18"/>
                <w:szCs w:val="18"/>
              </w:rPr>
            </w:pPr>
            <w:r>
              <w:rPr>
                <w:rFonts w:ascii="Calibri" w:hAnsi="Calibri" w:cs="Calibri"/>
                <w:color w:val="000000"/>
                <w:sz w:val="18"/>
                <w:szCs w:val="18"/>
              </w:rPr>
              <w:t xml:space="preserve">0.55 </w:t>
            </w:r>
          </w:p>
        </w:tc>
        <w:tc>
          <w:tcPr>
            <w:tcW w:w="1395" w:type="dxa"/>
            <w:vAlign w:val="center"/>
          </w:tcPr>
          <w:p w14:paraId="46E7C5CF">
            <w:pPr>
              <w:jc w:val="center"/>
              <w:rPr>
                <w:rFonts w:ascii="Calibri" w:hAnsi="Calibri" w:eastAsia="宋体" w:cs="Calibri"/>
                <w:color w:val="000000"/>
                <w:sz w:val="18"/>
                <w:szCs w:val="18"/>
              </w:rPr>
            </w:pPr>
            <w:r>
              <w:rPr>
                <w:rFonts w:ascii="Calibri" w:hAnsi="Calibri" w:cs="Calibri"/>
                <w:color w:val="000000"/>
                <w:sz w:val="18"/>
                <w:szCs w:val="18"/>
              </w:rPr>
              <w:t xml:space="preserve">0.48 </w:t>
            </w:r>
          </w:p>
        </w:tc>
        <w:tc>
          <w:tcPr>
            <w:tcW w:w="1425" w:type="dxa"/>
            <w:vAlign w:val="center"/>
          </w:tcPr>
          <w:p w14:paraId="7B379B20">
            <w:pPr>
              <w:jc w:val="center"/>
              <w:rPr>
                <w:rFonts w:ascii="Calibri" w:hAnsi="Calibri" w:eastAsia="宋体" w:cs="Calibri"/>
                <w:color w:val="000000"/>
                <w:sz w:val="18"/>
                <w:szCs w:val="18"/>
              </w:rPr>
            </w:pPr>
            <w:r>
              <w:rPr>
                <w:rFonts w:ascii="Calibri" w:hAnsi="Calibri" w:cs="Calibri"/>
                <w:color w:val="000000"/>
                <w:sz w:val="18"/>
                <w:szCs w:val="18"/>
              </w:rPr>
              <w:t xml:space="preserve">0.2640 </w:t>
            </w:r>
          </w:p>
        </w:tc>
        <w:tc>
          <w:tcPr>
            <w:tcW w:w="1305" w:type="dxa"/>
            <w:vAlign w:val="center"/>
          </w:tcPr>
          <w:p w14:paraId="41388FF6">
            <w:pPr>
              <w:jc w:val="center"/>
              <w:rPr>
                <w:rFonts w:ascii="Times New Roman" w:hAnsi="Times New Roman" w:eastAsia="宋体" w:cs="Times New Roman"/>
                <w:color w:val="000000"/>
                <w:sz w:val="18"/>
                <w:szCs w:val="18"/>
              </w:rPr>
            </w:pPr>
            <w:r>
              <w:rPr>
                <w:rFonts w:ascii="Times New Roman" w:hAnsi="Times New Roman" w:cs="Times New Roman"/>
                <w:color w:val="000000"/>
                <w:sz w:val="18"/>
                <w:szCs w:val="18"/>
              </w:rPr>
              <w:t xml:space="preserve">0.1510 </w:t>
            </w:r>
          </w:p>
        </w:tc>
        <w:tc>
          <w:tcPr>
            <w:tcW w:w="1351" w:type="dxa"/>
            <w:vAlign w:val="center"/>
          </w:tcPr>
          <w:p w14:paraId="5EBBDC50">
            <w:pPr>
              <w:jc w:val="center"/>
              <w:rPr>
                <w:rFonts w:ascii="Times New Roman" w:hAnsi="Times New Roman" w:eastAsia="宋体" w:cs="Times New Roman"/>
                <w:color w:val="000000"/>
                <w:sz w:val="18"/>
                <w:szCs w:val="18"/>
              </w:rPr>
            </w:pPr>
            <w:r>
              <w:rPr>
                <w:rFonts w:ascii="Times New Roman" w:hAnsi="Times New Roman" w:cs="Times New Roman"/>
                <w:color w:val="000000"/>
                <w:sz w:val="18"/>
                <w:szCs w:val="18"/>
              </w:rPr>
              <w:t xml:space="preserve">0.039864 </w:t>
            </w:r>
          </w:p>
        </w:tc>
      </w:tr>
      <w:tr w14:paraId="57B5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548B2D22">
            <w:pPr>
              <w:jc w:val="center"/>
              <w:rPr>
                <w:rFonts w:eastAsia="宋体"/>
                <w:sz w:val="18"/>
                <w:szCs w:val="18"/>
              </w:rPr>
            </w:pPr>
            <w:r>
              <w:rPr>
                <w:rFonts w:hint="eastAsia"/>
                <w:sz w:val="18"/>
                <w:szCs w:val="18"/>
              </w:rPr>
              <w:t>7</w:t>
            </w:r>
          </w:p>
        </w:tc>
        <w:tc>
          <w:tcPr>
            <w:tcW w:w="6285" w:type="dxa"/>
          </w:tcPr>
          <w:p w14:paraId="54EFD2B9">
            <w:pPr>
              <w:jc w:val="left"/>
              <w:rPr>
                <w:rFonts w:hAnsi="宋体"/>
                <w:sz w:val="18"/>
                <w:szCs w:val="18"/>
              </w:rPr>
            </w:pPr>
            <w:r>
              <w:rPr>
                <w:rFonts w:hint="eastAsia" w:hAnsi="宋体"/>
                <w:sz w:val="18"/>
                <w:szCs w:val="18"/>
              </w:rPr>
              <w:t>幼儿园周边环境对儿童是否存在安全隐患</w:t>
            </w:r>
          </w:p>
        </w:tc>
        <w:tc>
          <w:tcPr>
            <w:tcW w:w="1425" w:type="dxa"/>
            <w:vAlign w:val="center"/>
          </w:tcPr>
          <w:p w14:paraId="6A756394">
            <w:pPr>
              <w:jc w:val="center"/>
              <w:rPr>
                <w:rFonts w:ascii="Calibri" w:hAnsi="Calibri" w:eastAsia="宋体" w:cs="Calibri"/>
                <w:color w:val="000000"/>
                <w:sz w:val="18"/>
                <w:szCs w:val="18"/>
              </w:rPr>
            </w:pPr>
            <w:r>
              <w:rPr>
                <w:rFonts w:ascii="Calibri" w:hAnsi="Calibri" w:cs="Calibri"/>
                <w:color w:val="000000"/>
                <w:sz w:val="18"/>
                <w:szCs w:val="18"/>
              </w:rPr>
              <w:t xml:space="preserve">0.25 </w:t>
            </w:r>
          </w:p>
        </w:tc>
        <w:tc>
          <w:tcPr>
            <w:tcW w:w="1395" w:type="dxa"/>
            <w:vAlign w:val="center"/>
          </w:tcPr>
          <w:p w14:paraId="66B8C87B">
            <w:pPr>
              <w:jc w:val="center"/>
              <w:rPr>
                <w:rFonts w:ascii="Calibri" w:hAnsi="Calibri" w:eastAsia="宋体" w:cs="Calibri"/>
                <w:color w:val="000000"/>
                <w:sz w:val="18"/>
                <w:szCs w:val="18"/>
              </w:rPr>
            </w:pPr>
            <w:r>
              <w:rPr>
                <w:rFonts w:ascii="Calibri" w:hAnsi="Calibri" w:cs="Calibri"/>
                <w:color w:val="000000"/>
                <w:sz w:val="18"/>
                <w:szCs w:val="18"/>
              </w:rPr>
              <w:t xml:space="preserve">0.47 </w:t>
            </w:r>
          </w:p>
        </w:tc>
        <w:tc>
          <w:tcPr>
            <w:tcW w:w="1425" w:type="dxa"/>
            <w:vAlign w:val="center"/>
          </w:tcPr>
          <w:p w14:paraId="036561B2">
            <w:pPr>
              <w:jc w:val="center"/>
              <w:rPr>
                <w:rFonts w:ascii="Calibri" w:hAnsi="Calibri" w:eastAsia="宋体" w:cs="Calibri"/>
                <w:color w:val="000000"/>
                <w:sz w:val="18"/>
                <w:szCs w:val="18"/>
              </w:rPr>
            </w:pPr>
            <w:r>
              <w:rPr>
                <w:rFonts w:ascii="Calibri" w:hAnsi="Calibri" w:cs="Calibri"/>
                <w:color w:val="000000"/>
                <w:sz w:val="18"/>
                <w:szCs w:val="18"/>
              </w:rPr>
              <w:t xml:space="preserve">0.1175 </w:t>
            </w:r>
          </w:p>
        </w:tc>
        <w:tc>
          <w:tcPr>
            <w:tcW w:w="1305" w:type="dxa"/>
            <w:vAlign w:val="center"/>
          </w:tcPr>
          <w:p w14:paraId="6E867703">
            <w:pPr>
              <w:jc w:val="center"/>
              <w:rPr>
                <w:rFonts w:ascii="Times New Roman" w:hAnsi="Times New Roman" w:eastAsia="宋体" w:cs="Times New Roman"/>
                <w:color w:val="000000"/>
                <w:sz w:val="18"/>
                <w:szCs w:val="18"/>
              </w:rPr>
            </w:pPr>
            <w:r>
              <w:rPr>
                <w:rFonts w:ascii="Times New Roman" w:hAnsi="Times New Roman" w:cs="Times New Roman"/>
                <w:color w:val="000000"/>
                <w:sz w:val="18"/>
                <w:szCs w:val="18"/>
              </w:rPr>
              <w:t xml:space="preserve">0.1570 </w:t>
            </w:r>
          </w:p>
        </w:tc>
        <w:tc>
          <w:tcPr>
            <w:tcW w:w="1351" w:type="dxa"/>
            <w:vAlign w:val="center"/>
          </w:tcPr>
          <w:p w14:paraId="0EC3D383">
            <w:pPr>
              <w:jc w:val="center"/>
              <w:rPr>
                <w:rFonts w:ascii="Times New Roman" w:hAnsi="Times New Roman" w:eastAsia="宋体" w:cs="Times New Roman"/>
                <w:color w:val="000000"/>
                <w:sz w:val="18"/>
                <w:szCs w:val="18"/>
              </w:rPr>
            </w:pPr>
            <w:r>
              <w:rPr>
                <w:rFonts w:ascii="Times New Roman" w:hAnsi="Times New Roman" w:cs="Times New Roman"/>
                <w:color w:val="000000"/>
                <w:sz w:val="18"/>
                <w:szCs w:val="18"/>
              </w:rPr>
              <w:t xml:space="preserve">0.018448 </w:t>
            </w:r>
          </w:p>
        </w:tc>
      </w:tr>
      <w:tr w14:paraId="27B7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54720413">
            <w:pPr>
              <w:jc w:val="center"/>
              <w:rPr>
                <w:sz w:val="18"/>
                <w:szCs w:val="18"/>
              </w:rPr>
            </w:pPr>
            <w:r>
              <w:rPr>
                <w:rFonts w:hint="eastAsia"/>
                <w:sz w:val="18"/>
                <w:szCs w:val="18"/>
              </w:rPr>
              <w:t>8</w:t>
            </w:r>
          </w:p>
        </w:tc>
        <w:tc>
          <w:tcPr>
            <w:tcW w:w="6285" w:type="dxa"/>
          </w:tcPr>
          <w:p w14:paraId="5990B56E">
            <w:pPr>
              <w:jc w:val="left"/>
              <w:rPr>
                <w:rFonts w:hAnsi="宋体"/>
                <w:sz w:val="18"/>
                <w:szCs w:val="18"/>
              </w:rPr>
            </w:pPr>
            <w:r>
              <w:rPr>
                <w:rFonts w:hint="eastAsia" w:hAnsi="宋体"/>
                <w:sz w:val="18"/>
                <w:szCs w:val="18"/>
              </w:rPr>
              <w:t>规划实施工作及资金落实情况是否对规划实施有影响</w:t>
            </w:r>
          </w:p>
        </w:tc>
        <w:tc>
          <w:tcPr>
            <w:tcW w:w="1425" w:type="dxa"/>
            <w:vAlign w:val="center"/>
          </w:tcPr>
          <w:p w14:paraId="433C6091">
            <w:pPr>
              <w:jc w:val="center"/>
              <w:rPr>
                <w:rFonts w:ascii="Calibri" w:hAnsi="Calibri" w:eastAsia="宋体" w:cs="Calibri"/>
                <w:color w:val="000000"/>
                <w:sz w:val="18"/>
                <w:szCs w:val="18"/>
              </w:rPr>
            </w:pPr>
            <w:r>
              <w:rPr>
                <w:rFonts w:ascii="Calibri" w:hAnsi="Calibri" w:cs="Calibri"/>
                <w:color w:val="000000"/>
                <w:sz w:val="18"/>
                <w:szCs w:val="18"/>
              </w:rPr>
              <w:t xml:space="preserve">0.15 </w:t>
            </w:r>
          </w:p>
        </w:tc>
        <w:tc>
          <w:tcPr>
            <w:tcW w:w="1395" w:type="dxa"/>
            <w:vAlign w:val="center"/>
          </w:tcPr>
          <w:p w14:paraId="64B2DA95">
            <w:pPr>
              <w:jc w:val="center"/>
              <w:rPr>
                <w:rFonts w:ascii="Calibri" w:hAnsi="Calibri" w:eastAsia="宋体" w:cs="Calibri"/>
                <w:color w:val="000000"/>
                <w:sz w:val="18"/>
                <w:szCs w:val="18"/>
              </w:rPr>
            </w:pPr>
            <w:r>
              <w:rPr>
                <w:rFonts w:ascii="Calibri" w:hAnsi="Calibri" w:cs="Calibri"/>
                <w:color w:val="000000"/>
                <w:sz w:val="18"/>
                <w:szCs w:val="18"/>
              </w:rPr>
              <w:t xml:space="preserve">0.21 </w:t>
            </w:r>
          </w:p>
        </w:tc>
        <w:tc>
          <w:tcPr>
            <w:tcW w:w="1425" w:type="dxa"/>
            <w:vAlign w:val="center"/>
          </w:tcPr>
          <w:p w14:paraId="4160E844">
            <w:pPr>
              <w:jc w:val="center"/>
              <w:rPr>
                <w:rFonts w:ascii="Calibri" w:hAnsi="Calibri" w:eastAsia="宋体" w:cs="Calibri"/>
                <w:color w:val="000000"/>
                <w:sz w:val="18"/>
                <w:szCs w:val="18"/>
              </w:rPr>
            </w:pPr>
            <w:r>
              <w:rPr>
                <w:rFonts w:ascii="Calibri" w:hAnsi="Calibri" w:cs="Calibri"/>
                <w:color w:val="000000"/>
                <w:sz w:val="18"/>
                <w:szCs w:val="18"/>
              </w:rPr>
              <w:t xml:space="preserve">0.0315 </w:t>
            </w:r>
          </w:p>
        </w:tc>
        <w:tc>
          <w:tcPr>
            <w:tcW w:w="1305" w:type="dxa"/>
            <w:vAlign w:val="center"/>
          </w:tcPr>
          <w:p w14:paraId="0A79F6AF">
            <w:pPr>
              <w:jc w:val="center"/>
              <w:rPr>
                <w:rFonts w:ascii="Times New Roman" w:hAnsi="Times New Roman" w:eastAsia="宋体" w:cs="Times New Roman"/>
                <w:color w:val="000000"/>
                <w:sz w:val="18"/>
                <w:szCs w:val="18"/>
              </w:rPr>
            </w:pPr>
            <w:r>
              <w:rPr>
                <w:rFonts w:ascii="Times New Roman" w:hAnsi="Times New Roman" w:cs="Times New Roman"/>
                <w:color w:val="000000"/>
                <w:sz w:val="18"/>
                <w:szCs w:val="18"/>
              </w:rPr>
              <w:t xml:space="preserve">0.1650 </w:t>
            </w:r>
          </w:p>
        </w:tc>
        <w:tc>
          <w:tcPr>
            <w:tcW w:w="1351" w:type="dxa"/>
            <w:vAlign w:val="center"/>
          </w:tcPr>
          <w:p w14:paraId="5C429E8A">
            <w:pPr>
              <w:jc w:val="center"/>
              <w:rPr>
                <w:rFonts w:ascii="Times New Roman" w:hAnsi="Times New Roman" w:eastAsia="宋体" w:cs="Times New Roman"/>
                <w:color w:val="000000"/>
                <w:sz w:val="18"/>
                <w:szCs w:val="18"/>
              </w:rPr>
            </w:pPr>
            <w:r>
              <w:rPr>
                <w:rFonts w:ascii="Times New Roman" w:hAnsi="Times New Roman" w:cs="Times New Roman"/>
                <w:color w:val="000000"/>
                <w:sz w:val="18"/>
                <w:szCs w:val="18"/>
              </w:rPr>
              <w:t xml:space="preserve">0.005198 </w:t>
            </w:r>
          </w:p>
        </w:tc>
      </w:tr>
      <w:tr w14:paraId="02338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6990" w:type="dxa"/>
            <w:gridSpan w:val="2"/>
            <w:vAlign w:val="center"/>
          </w:tcPr>
          <w:p w14:paraId="00B80478">
            <w:pPr>
              <w:rPr>
                <w:rFonts w:ascii="宋体" w:hAnsi="宋体" w:eastAsia="宋体"/>
                <w:sz w:val="18"/>
                <w:szCs w:val="18"/>
              </w:rPr>
            </w:pPr>
            <w:r>
              <w:rPr>
                <w:rFonts w:hint="eastAsia" w:ascii="宋体" w:hAnsi="宋体"/>
                <w:sz w:val="18"/>
                <w:szCs w:val="18"/>
              </w:rPr>
              <w:t xml:space="preserve">                           汇总</w:t>
            </w:r>
          </w:p>
        </w:tc>
        <w:tc>
          <w:tcPr>
            <w:tcW w:w="1425" w:type="dxa"/>
            <w:vAlign w:val="center"/>
          </w:tcPr>
          <w:p w14:paraId="2E388883">
            <w:pPr>
              <w:jc w:val="center"/>
              <w:rPr>
                <w:sz w:val="18"/>
                <w:szCs w:val="18"/>
              </w:rPr>
            </w:pPr>
          </w:p>
        </w:tc>
        <w:tc>
          <w:tcPr>
            <w:tcW w:w="1395" w:type="dxa"/>
            <w:vAlign w:val="center"/>
          </w:tcPr>
          <w:p w14:paraId="5DBEEF9B">
            <w:pPr>
              <w:jc w:val="center"/>
              <w:rPr>
                <w:rFonts w:ascii="Calibri" w:hAnsi="Calibri" w:eastAsia="宋体" w:cs="Calibri"/>
                <w:color w:val="000000"/>
                <w:sz w:val="18"/>
                <w:szCs w:val="18"/>
              </w:rPr>
            </w:pPr>
            <w:r>
              <w:rPr>
                <w:rFonts w:ascii="Calibri" w:hAnsi="Calibri" w:cs="Calibri"/>
                <w:color w:val="000000"/>
                <w:sz w:val="18"/>
                <w:szCs w:val="18"/>
              </w:rPr>
              <w:t>　</w:t>
            </w:r>
          </w:p>
        </w:tc>
        <w:tc>
          <w:tcPr>
            <w:tcW w:w="1425" w:type="dxa"/>
            <w:vAlign w:val="center"/>
          </w:tcPr>
          <w:p w14:paraId="117FF012">
            <w:pPr>
              <w:jc w:val="center"/>
              <w:rPr>
                <w:rFonts w:ascii="Calibri" w:hAnsi="Calibri" w:eastAsia="宋体" w:cs="Calibri"/>
                <w:color w:val="000000"/>
                <w:sz w:val="18"/>
                <w:szCs w:val="18"/>
              </w:rPr>
            </w:pPr>
            <w:r>
              <w:rPr>
                <w:rFonts w:ascii="Calibri" w:hAnsi="Calibri" w:cs="Calibri"/>
                <w:color w:val="000000"/>
                <w:sz w:val="18"/>
                <w:szCs w:val="18"/>
              </w:rPr>
              <w:t>　</w:t>
            </w:r>
          </w:p>
        </w:tc>
        <w:tc>
          <w:tcPr>
            <w:tcW w:w="1305" w:type="dxa"/>
            <w:vAlign w:val="center"/>
          </w:tcPr>
          <w:p w14:paraId="5C4847BA">
            <w:pPr>
              <w:jc w:val="center"/>
              <w:rPr>
                <w:rFonts w:ascii="Calibri" w:hAnsi="Calibri" w:eastAsia="宋体" w:cs="Calibri"/>
                <w:color w:val="000000"/>
                <w:sz w:val="18"/>
                <w:szCs w:val="18"/>
              </w:rPr>
            </w:pPr>
            <w:r>
              <w:rPr>
                <w:rFonts w:ascii="Calibri" w:hAnsi="Calibri" w:cs="Calibri"/>
                <w:color w:val="000000"/>
                <w:sz w:val="18"/>
                <w:szCs w:val="18"/>
              </w:rPr>
              <w:t>　</w:t>
            </w:r>
            <w:r>
              <w:rPr>
                <w:rFonts w:hint="eastAsia" w:ascii="Calibri" w:hAnsi="Calibri" w:cs="Calibri"/>
                <w:color w:val="000000"/>
                <w:sz w:val="18"/>
                <w:szCs w:val="18"/>
              </w:rPr>
              <w:t>1</w:t>
            </w:r>
          </w:p>
        </w:tc>
        <w:tc>
          <w:tcPr>
            <w:tcW w:w="1351" w:type="dxa"/>
            <w:vAlign w:val="center"/>
          </w:tcPr>
          <w:p w14:paraId="35E870A6">
            <w:pPr>
              <w:jc w:val="center"/>
              <w:rPr>
                <w:rFonts w:ascii="Calibri" w:hAnsi="Calibri" w:eastAsia="宋体" w:cs="Calibri"/>
                <w:color w:val="000000"/>
                <w:sz w:val="18"/>
                <w:szCs w:val="18"/>
              </w:rPr>
            </w:pPr>
            <w:r>
              <w:rPr>
                <w:rFonts w:ascii="Times New Roman" w:hAnsi="Times New Roman" w:cs="Times New Roman"/>
                <w:color w:val="000000"/>
                <w:sz w:val="18"/>
                <w:szCs w:val="18"/>
              </w:rPr>
              <w:t xml:space="preserve">0.098275 </w:t>
            </w:r>
          </w:p>
        </w:tc>
      </w:tr>
    </w:tbl>
    <w:p w14:paraId="3DEDA9AE">
      <w:pPr>
        <w:ind w:firstLine="420" w:firstLineChars="200"/>
        <w:rPr>
          <w:rFonts w:ascii="仿宋" w:hAnsi="仿宋" w:eastAsia="仿宋" w:cs="仿宋"/>
          <w:kern w:val="0"/>
          <w:szCs w:val="21"/>
        </w:rPr>
      </w:pPr>
      <w:r>
        <w:rPr>
          <w:rFonts w:hint="eastAsia" w:ascii="仿宋" w:hAnsi="仿宋" w:eastAsia="仿宋" w:cs="仿宋"/>
          <w:kern w:val="0"/>
          <w:szCs w:val="21"/>
        </w:rPr>
        <w:t>注：1、风险因素权重作归一化处理。2、风险概率（p），按照风险因素发生的可能性将概率划分为五个档次，很高(概率在81%-100%)、较高(概率在61%-80%)、中等(概率在41%-60%)、较低(概率在21%-40%)、很低(概率在0-20%)，可依据经验或预测进行确定。3、影响程度（q），按照风险发生后对工程的影响大小，划分为五个影响等级，严重（定量判断标准81%-100%）、较大（定量判断标准61%-80%）、中等（定量判断标准41%-60%）、较小（定量判断标准21%-40%）、可忽略（定量判断标准0-20%）。 4、风险程度（R），具体数值根据本项目特点，结合项目所在地的经济社会发展状况与项目适应性确定，可分为重大（定量判断标准为：R＞0.64）、较大（定量判断标准为0.64≥R＞0.36）、一般（定量判断标准为0.36≥R＞0.16）、较小（定量判断标准为0.16≥R＞0.04）、微小（定量判断标准为0.04≥R≥0）五个等级。</w:t>
      </w:r>
    </w:p>
    <w:p w14:paraId="76FA5927">
      <w:pPr>
        <w:sectPr>
          <w:pgSz w:w="16838" w:h="11906" w:orient="landscape"/>
          <w:pgMar w:top="1800" w:right="1440" w:bottom="1800" w:left="1440" w:header="851" w:footer="992" w:gutter="0"/>
          <w:cols w:space="425" w:num="1"/>
          <w:docGrid w:type="lines" w:linePitch="312" w:charSpace="0"/>
        </w:sectPr>
      </w:pPr>
    </w:p>
    <w:p w14:paraId="52E9F61F">
      <w:pPr>
        <w:spacing w:line="560" w:lineRule="exact"/>
        <w:ind w:firstLine="562" w:firstLineChars="200"/>
        <w:rPr>
          <w:rFonts w:ascii="宋体" w:hAnsi="宋体"/>
          <w:b/>
          <w:sz w:val="28"/>
          <w:szCs w:val="28"/>
        </w:rPr>
      </w:pPr>
      <w:r>
        <w:rPr>
          <w:rFonts w:hint="eastAsia" w:ascii="宋体" w:hAnsi="宋体"/>
          <w:b/>
          <w:sz w:val="28"/>
          <w:szCs w:val="28"/>
        </w:rPr>
        <w:t>（五）综合风险分析</w:t>
      </w:r>
    </w:p>
    <w:p w14:paraId="580229B8">
      <w:pPr>
        <w:spacing w:line="560" w:lineRule="exact"/>
        <w:ind w:firstLine="560" w:firstLineChars="200"/>
        <w:rPr>
          <w:rFonts w:ascii="宋体" w:hAnsi="宋体"/>
          <w:sz w:val="28"/>
          <w:szCs w:val="28"/>
        </w:rPr>
      </w:pPr>
      <w:r>
        <w:rPr>
          <w:rFonts w:hint="eastAsia" w:ascii="宋体" w:hAnsi="宋体"/>
          <w:sz w:val="28"/>
          <w:szCs w:val="28"/>
        </w:rPr>
        <w:t>1.总体评判</w:t>
      </w:r>
    </w:p>
    <w:p w14:paraId="48581F12">
      <w:pPr>
        <w:spacing w:line="560" w:lineRule="exact"/>
        <w:ind w:firstLine="560" w:firstLineChars="200"/>
        <w:rPr>
          <w:rFonts w:ascii="宋体" w:hAnsi="宋体"/>
          <w:sz w:val="28"/>
          <w:szCs w:val="28"/>
        </w:rPr>
      </w:pPr>
      <w:r>
        <w:rPr>
          <w:rFonts w:hint="eastAsia" w:ascii="宋体" w:hAnsi="宋体"/>
          <w:sz w:val="28"/>
          <w:szCs w:val="28"/>
        </w:rPr>
        <w:t>此次重大决策总体上获得了社会各界的理解和支持，没有获知明确的反对意见。</w:t>
      </w:r>
    </w:p>
    <w:p w14:paraId="0F7EAB6A">
      <w:pPr>
        <w:spacing w:line="560" w:lineRule="exact"/>
        <w:ind w:firstLine="560" w:firstLineChars="200"/>
        <w:rPr>
          <w:rFonts w:ascii="宋体" w:hAnsi="宋体"/>
          <w:sz w:val="28"/>
          <w:szCs w:val="28"/>
        </w:rPr>
      </w:pPr>
      <w:r>
        <w:rPr>
          <w:rFonts w:hint="eastAsia" w:ascii="宋体" w:hAnsi="宋体"/>
          <w:sz w:val="28"/>
          <w:szCs w:val="28"/>
        </w:rPr>
        <w:t>2.单因素风险程度</w:t>
      </w:r>
    </w:p>
    <w:p w14:paraId="1AE2C947">
      <w:pPr>
        <w:spacing w:line="560" w:lineRule="exact"/>
        <w:ind w:firstLine="560" w:firstLineChars="200"/>
        <w:rPr>
          <w:rFonts w:ascii="宋体" w:hAnsi="宋体"/>
          <w:sz w:val="28"/>
          <w:szCs w:val="28"/>
        </w:rPr>
      </w:pPr>
      <w:r>
        <w:rPr>
          <w:rFonts w:hint="eastAsia" w:ascii="宋体" w:hAnsi="宋体"/>
          <w:sz w:val="28"/>
          <w:szCs w:val="28"/>
        </w:rPr>
        <w:t>本决策采取风险防范、化解措施后，8个单风险因素中有1个风险因素的风险程度为“一般”，有4个风险因素的风险程度为“较小”，有3个风险因素的风险程度为“微小”。</w:t>
      </w:r>
    </w:p>
    <w:p w14:paraId="55D30317">
      <w:pPr>
        <w:spacing w:line="560" w:lineRule="exact"/>
        <w:ind w:firstLine="560" w:firstLineChars="200"/>
        <w:rPr>
          <w:rFonts w:ascii="宋体" w:hAnsi="宋体"/>
          <w:sz w:val="28"/>
          <w:szCs w:val="28"/>
        </w:rPr>
      </w:pPr>
      <w:r>
        <w:rPr>
          <w:rFonts w:hint="eastAsia" w:ascii="宋体" w:hAnsi="宋体"/>
          <w:sz w:val="28"/>
          <w:szCs w:val="28"/>
        </w:rPr>
        <w:t>3.综合风险指数</w:t>
      </w:r>
    </w:p>
    <w:p w14:paraId="6E37E923">
      <w:pPr>
        <w:spacing w:line="560" w:lineRule="exact"/>
        <w:ind w:firstLine="560" w:firstLineChars="200"/>
        <w:rPr>
          <w:rFonts w:ascii="宋体" w:hAnsi="宋体"/>
          <w:sz w:val="28"/>
          <w:szCs w:val="28"/>
        </w:rPr>
      </w:pPr>
      <w:r>
        <w:rPr>
          <w:rFonts w:hint="eastAsia" w:ascii="宋体" w:hAnsi="宋体"/>
          <w:sz w:val="28"/>
          <w:szCs w:val="28"/>
        </w:rPr>
        <w:t>经计算，在采取风险防范化解措施后综合风险指数为</w:t>
      </w:r>
      <w:r>
        <w:rPr>
          <w:rFonts w:ascii="宋体" w:hAnsi="宋体"/>
          <w:sz w:val="28"/>
          <w:szCs w:val="28"/>
        </w:rPr>
        <w:t>0.098275</w:t>
      </w:r>
      <w:r>
        <w:rPr>
          <w:rFonts w:hint="eastAsia" w:ascii="宋体" w:hAnsi="宋体"/>
          <w:sz w:val="28"/>
          <w:szCs w:val="28"/>
        </w:rPr>
        <w:t>（见表-5），综合风险指数小于0.36（见表-6），判断《规划》决策风险等级为“低风险”。</w:t>
      </w:r>
    </w:p>
    <w:p w14:paraId="368825E5">
      <w:pPr>
        <w:spacing w:line="360" w:lineRule="auto"/>
        <w:jc w:val="center"/>
        <w:rPr>
          <w:rFonts w:ascii="宋体" w:hAnsi="宋体" w:eastAsia="宋体" w:cs="宋体"/>
          <w:sz w:val="24"/>
          <w:szCs w:val="24"/>
          <w:vertAlign w:val="superscript"/>
        </w:rPr>
      </w:pPr>
      <w:r>
        <w:rPr>
          <w:rFonts w:hint="eastAsia" w:ascii="宋体" w:hAnsi="宋体" w:eastAsia="宋体" w:cs="宋体"/>
          <w:sz w:val="24"/>
          <w:szCs w:val="24"/>
        </w:rPr>
        <w:t>表-6 用于《规划》社会稳定风险分析的指标体系和评判标准</w:t>
      </w:r>
    </w:p>
    <w:tbl>
      <w:tblPr>
        <w:tblStyle w:val="5"/>
        <w:tblW w:w="9207" w:type="dxa"/>
        <w:tblInd w:w="-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1"/>
        <w:gridCol w:w="2542"/>
        <w:gridCol w:w="2302"/>
        <w:gridCol w:w="2302"/>
      </w:tblGrid>
      <w:tr w14:paraId="0A5D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2061" w:type="dxa"/>
            <w:noWrap/>
            <w:vAlign w:val="center"/>
          </w:tcPr>
          <w:p w14:paraId="15251E27">
            <w:pPr>
              <w:spacing w:line="360" w:lineRule="auto"/>
              <w:jc w:val="center"/>
            </w:pPr>
            <w:r>
              <w:rPr>
                <w:rFonts w:hint="eastAsia"/>
              </w:rPr>
              <w:t>风险等级</w:t>
            </w:r>
          </w:p>
        </w:tc>
        <w:tc>
          <w:tcPr>
            <w:tcW w:w="2542" w:type="dxa"/>
            <w:noWrap/>
            <w:vAlign w:val="center"/>
          </w:tcPr>
          <w:p w14:paraId="6A30804A">
            <w:pPr>
              <w:spacing w:line="360" w:lineRule="auto"/>
              <w:jc w:val="center"/>
            </w:pPr>
            <w:r>
              <w:rPr>
                <w:rFonts w:hint="eastAsia"/>
              </w:rPr>
              <w:t>高风险</w:t>
            </w:r>
          </w:p>
        </w:tc>
        <w:tc>
          <w:tcPr>
            <w:tcW w:w="2302" w:type="dxa"/>
            <w:noWrap/>
            <w:vAlign w:val="center"/>
          </w:tcPr>
          <w:p w14:paraId="7AA4BA07">
            <w:pPr>
              <w:spacing w:line="360" w:lineRule="auto"/>
              <w:jc w:val="center"/>
            </w:pPr>
            <w:r>
              <w:rPr>
                <w:rFonts w:hint="eastAsia"/>
              </w:rPr>
              <w:t>中风险</w:t>
            </w:r>
          </w:p>
        </w:tc>
        <w:tc>
          <w:tcPr>
            <w:tcW w:w="2302" w:type="dxa"/>
            <w:noWrap/>
            <w:vAlign w:val="center"/>
          </w:tcPr>
          <w:p w14:paraId="0B04FB91">
            <w:pPr>
              <w:spacing w:line="360" w:lineRule="auto"/>
              <w:jc w:val="center"/>
            </w:pPr>
            <w:r>
              <w:rPr>
                <w:rFonts w:hint="eastAsia"/>
              </w:rPr>
              <w:t>低风险</w:t>
            </w:r>
          </w:p>
        </w:tc>
      </w:tr>
      <w:tr w14:paraId="7753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2061" w:type="dxa"/>
            <w:noWrap/>
            <w:vAlign w:val="center"/>
          </w:tcPr>
          <w:p w14:paraId="6DE67EEA">
            <w:pPr>
              <w:spacing w:line="360" w:lineRule="auto"/>
              <w:jc w:val="center"/>
            </w:pPr>
            <w:r>
              <w:rPr>
                <w:rFonts w:hint="eastAsia"/>
              </w:rPr>
              <w:t>总体评判标准</w:t>
            </w:r>
          </w:p>
        </w:tc>
        <w:tc>
          <w:tcPr>
            <w:tcW w:w="2542" w:type="dxa"/>
            <w:noWrap/>
            <w:vAlign w:val="center"/>
          </w:tcPr>
          <w:p w14:paraId="37CCB6E7">
            <w:pPr>
              <w:spacing w:line="360" w:lineRule="auto"/>
            </w:pPr>
            <w:r>
              <w:rPr>
                <w:rFonts w:hint="eastAsia"/>
              </w:rPr>
              <w:t>大部分群众对项目实施有意见，反应特别强烈，可能引发大规模社会稳定风险。</w:t>
            </w:r>
          </w:p>
        </w:tc>
        <w:tc>
          <w:tcPr>
            <w:tcW w:w="2302" w:type="dxa"/>
            <w:noWrap/>
            <w:vAlign w:val="center"/>
          </w:tcPr>
          <w:p w14:paraId="425EA59F">
            <w:pPr>
              <w:spacing w:line="360" w:lineRule="auto"/>
            </w:pPr>
            <w:r>
              <w:rPr>
                <w:rFonts w:hint="eastAsia"/>
              </w:rPr>
              <w:t>部分群众对项目实施有意见，反映强烈，可能引发矛盾冲突。</w:t>
            </w:r>
          </w:p>
        </w:tc>
        <w:tc>
          <w:tcPr>
            <w:tcW w:w="2302" w:type="dxa"/>
            <w:noWrap/>
            <w:vAlign w:val="center"/>
          </w:tcPr>
          <w:p w14:paraId="47CD17A0">
            <w:pPr>
              <w:spacing w:line="360" w:lineRule="auto"/>
            </w:pPr>
            <w:r>
              <w:rPr>
                <w:rFonts w:hint="eastAsia"/>
              </w:rPr>
              <w:t>多数群众理解支持，但少数群众对项目实施有意见。</w:t>
            </w:r>
          </w:p>
        </w:tc>
      </w:tr>
      <w:tr w14:paraId="31D6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8" w:hRule="atLeast"/>
        </w:trPr>
        <w:tc>
          <w:tcPr>
            <w:tcW w:w="2061" w:type="dxa"/>
            <w:noWrap/>
            <w:vAlign w:val="center"/>
          </w:tcPr>
          <w:p w14:paraId="0753766F">
            <w:pPr>
              <w:spacing w:line="360" w:lineRule="auto"/>
              <w:jc w:val="center"/>
            </w:pPr>
            <w:r>
              <w:rPr>
                <w:rFonts w:hint="eastAsia"/>
              </w:rPr>
              <w:t>可能引发风险事件评判标准</w:t>
            </w:r>
          </w:p>
        </w:tc>
        <w:tc>
          <w:tcPr>
            <w:tcW w:w="2542" w:type="dxa"/>
            <w:noWrap/>
            <w:vAlign w:val="center"/>
          </w:tcPr>
          <w:p w14:paraId="2EDFA1BC">
            <w:pPr>
              <w:spacing w:line="360" w:lineRule="auto"/>
            </w:pPr>
            <w:r>
              <w:rPr>
                <w:rFonts w:hint="eastAsia"/>
              </w:rPr>
              <w:t>如冲击、围攻党政机关、要害部门及重大地区、部门、场所、发生打砸抢烧等集体械斗、聚众闹事、人员伤亡时间，非法集会、市委、游行、罢工、罢市、罢课等。</w:t>
            </w:r>
          </w:p>
        </w:tc>
        <w:tc>
          <w:tcPr>
            <w:tcW w:w="2302" w:type="dxa"/>
            <w:noWrap/>
            <w:vAlign w:val="center"/>
          </w:tcPr>
          <w:p w14:paraId="104145EA">
            <w:pPr>
              <w:spacing w:line="360" w:lineRule="auto"/>
            </w:pPr>
            <w:r>
              <w:rPr>
                <w:rFonts w:hint="eastAsia"/>
              </w:rPr>
              <w:t>如集体上访、请愿、发生极端个人事件，媒体（网络）出现负面舆情等。</w:t>
            </w:r>
          </w:p>
        </w:tc>
        <w:tc>
          <w:tcPr>
            <w:tcW w:w="2302" w:type="dxa"/>
            <w:noWrap/>
            <w:vAlign w:val="center"/>
          </w:tcPr>
          <w:p w14:paraId="0D16577A">
            <w:pPr>
              <w:spacing w:line="360" w:lineRule="auto"/>
            </w:pPr>
            <w:r>
              <w:rPr>
                <w:rFonts w:hint="eastAsia"/>
              </w:rPr>
              <w:t>如个人非正常上访、静坐、拉横幅、喊口号、散发宣传品、散布有害信息等。</w:t>
            </w:r>
          </w:p>
        </w:tc>
      </w:tr>
      <w:tr w14:paraId="2ECD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2061" w:type="dxa"/>
            <w:noWrap/>
            <w:vAlign w:val="center"/>
          </w:tcPr>
          <w:p w14:paraId="757ECB52">
            <w:pPr>
              <w:spacing w:line="360" w:lineRule="auto"/>
              <w:jc w:val="center"/>
            </w:pPr>
            <w:r>
              <w:rPr>
                <w:rFonts w:hint="eastAsia"/>
              </w:rPr>
              <w:t>风险事件参与人数评判标准</w:t>
            </w:r>
          </w:p>
        </w:tc>
        <w:tc>
          <w:tcPr>
            <w:tcW w:w="2542" w:type="dxa"/>
            <w:noWrap/>
            <w:vAlign w:val="center"/>
          </w:tcPr>
          <w:p w14:paraId="05826162">
            <w:pPr>
              <w:spacing w:line="360" w:lineRule="auto"/>
              <w:jc w:val="center"/>
            </w:pPr>
            <w:r>
              <w:rPr>
                <w:rFonts w:hint="eastAsia"/>
              </w:rPr>
              <w:t>200人以上</w:t>
            </w:r>
          </w:p>
        </w:tc>
        <w:tc>
          <w:tcPr>
            <w:tcW w:w="2302" w:type="dxa"/>
            <w:noWrap/>
            <w:vAlign w:val="center"/>
          </w:tcPr>
          <w:p w14:paraId="638FC9DC">
            <w:pPr>
              <w:spacing w:line="360" w:lineRule="auto"/>
              <w:jc w:val="center"/>
            </w:pPr>
            <w:r>
              <w:rPr>
                <w:rFonts w:hint="eastAsia"/>
              </w:rPr>
              <w:t>20至200人</w:t>
            </w:r>
          </w:p>
        </w:tc>
        <w:tc>
          <w:tcPr>
            <w:tcW w:w="2302" w:type="dxa"/>
            <w:noWrap/>
            <w:vAlign w:val="center"/>
          </w:tcPr>
          <w:p w14:paraId="6A90F1BE">
            <w:pPr>
              <w:spacing w:line="360" w:lineRule="auto"/>
              <w:jc w:val="center"/>
            </w:pPr>
            <w:r>
              <w:rPr>
                <w:rFonts w:hint="eastAsia"/>
              </w:rPr>
              <w:t>20人以下</w:t>
            </w:r>
          </w:p>
        </w:tc>
      </w:tr>
      <w:tr w14:paraId="2C0B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2061" w:type="dxa"/>
            <w:noWrap/>
            <w:vAlign w:val="center"/>
          </w:tcPr>
          <w:p w14:paraId="60C94445">
            <w:pPr>
              <w:spacing w:line="360" w:lineRule="auto"/>
              <w:jc w:val="center"/>
            </w:pPr>
            <w:r>
              <w:rPr>
                <w:rFonts w:hint="eastAsia"/>
              </w:rPr>
              <w:t>单因素风险程度</w:t>
            </w:r>
          </w:p>
          <w:p w14:paraId="25577859">
            <w:pPr>
              <w:spacing w:line="360" w:lineRule="auto"/>
              <w:jc w:val="center"/>
            </w:pPr>
            <w:r>
              <w:rPr>
                <w:rFonts w:hint="eastAsia"/>
              </w:rPr>
              <w:t>评判标准</w:t>
            </w:r>
          </w:p>
        </w:tc>
        <w:tc>
          <w:tcPr>
            <w:tcW w:w="2542" w:type="dxa"/>
            <w:noWrap/>
            <w:vAlign w:val="center"/>
          </w:tcPr>
          <w:p w14:paraId="05F01669">
            <w:pPr>
              <w:spacing w:line="360" w:lineRule="auto"/>
            </w:pPr>
            <w:r>
              <w:rPr>
                <w:rFonts w:hint="eastAsia"/>
              </w:rPr>
              <w:t>2个及以上重大或5个及以上较大单因素风险</w:t>
            </w:r>
          </w:p>
        </w:tc>
        <w:tc>
          <w:tcPr>
            <w:tcW w:w="2302" w:type="dxa"/>
            <w:noWrap/>
            <w:vAlign w:val="center"/>
          </w:tcPr>
          <w:p w14:paraId="31673177">
            <w:pPr>
              <w:spacing w:line="360" w:lineRule="auto"/>
            </w:pPr>
            <w:r>
              <w:rPr>
                <w:rFonts w:hint="eastAsia"/>
              </w:rPr>
              <w:t>1个重大或2个至4个较大单因素风险</w:t>
            </w:r>
          </w:p>
        </w:tc>
        <w:tc>
          <w:tcPr>
            <w:tcW w:w="2302" w:type="dxa"/>
            <w:noWrap/>
            <w:vAlign w:val="center"/>
          </w:tcPr>
          <w:p w14:paraId="2DCCC84A">
            <w:pPr>
              <w:spacing w:line="360" w:lineRule="auto"/>
            </w:pPr>
            <w:r>
              <w:rPr>
                <w:rFonts w:hint="eastAsia"/>
              </w:rPr>
              <w:t>1个较大或1至4个一般单因素风险</w:t>
            </w:r>
          </w:p>
        </w:tc>
      </w:tr>
      <w:tr w14:paraId="5C44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061" w:type="dxa"/>
            <w:noWrap/>
            <w:vAlign w:val="center"/>
          </w:tcPr>
          <w:p w14:paraId="1D87FB17">
            <w:pPr>
              <w:spacing w:line="360" w:lineRule="auto"/>
              <w:jc w:val="center"/>
            </w:pPr>
            <w:r>
              <w:rPr>
                <w:rFonts w:hint="eastAsia"/>
              </w:rPr>
              <w:t>综合风险指数</w:t>
            </w:r>
          </w:p>
          <w:p w14:paraId="12155CE5">
            <w:pPr>
              <w:spacing w:line="360" w:lineRule="auto"/>
              <w:jc w:val="center"/>
            </w:pPr>
            <w:r>
              <w:rPr>
                <w:rFonts w:hint="eastAsia"/>
              </w:rPr>
              <w:t>评判标准</w:t>
            </w:r>
          </w:p>
        </w:tc>
        <w:tc>
          <w:tcPr>
            <w:tcW w:w="2542" w:type="dxa"/>
            <w:noWrap/>
            <w:vAlign w:val="center"/>
          </w:tcPr>
          <w:p w14:paraId="500920E3">
            <w:pPr>
              <w:spacing w:line="360" w:lineRule="auto"/>
              <w:jc w:val="center"/>
            </w:pPr>
            <w:r>
              <w:rPr>
                <w:rFonts w:hint="eastAsia"/>
              </w:rPr>
              <w:t>&gt;0.64</w:t>
            </w:r>
          </w:p>
        </w:tc>
        <w:tc>
          <w:tcPr>
            <w:tcW w:w="2302" w:type="dxa"/>
            <w:noWrap/>
            <w:vAlign w:val="center"/>
          </w:tcPr>
          <w:p w14:paraId="0668BE22">
            <w:pPr>
              <w:spacing w:line="360" w:lineRule="auto"/>
              <w:jc w:val="center"/>
            </w:pPr>
            <w:r>
              <w:rPr>
                <w:rFonts w:hint="eastAsia"/>
              </w:rPr>
              <w:t>0.36~0.64</w:t>
            </w:r>
          </w:p>
        </w:tc>
        <w:tc>
          <w:tcPr>
            <w:tcW w:w="2302" w:type="dxa"/>
            <w:noWrap/>
            <w:vAlign w:val="center"/>
          </w:tcPr>
          <w:p w14:paraId="7FFEE600">
            <w:pPr>
              <w:spacing w:line="360" w:lineRule="auto"/>
              <w:jc w:val="center"/>
            </w:pPr>
            <w:r>
              <w:rPr>
                <w:rFonts w:hint="eastAsia"/>
              </w:rPr>
              <w:t>&lt;0.36</w:t>
            </w:r>
          </w:p>
        </w:tc>
      </w:tr>
    </w:tbl>
    <w:p w14:paraId="6D4B4A7D"/>
    <w:p w14:paraId="319BF4A2">
      <w:pPr>
        <w:spacing w:line="560" w:lineRule="exact"/>
        <w:ind w:firstLine="562" w:firstLineChars="200"/>
        <w:rPr>
          <w:rFonts w:ascii="宋体" w:hAnsi="宋体"/>
          <w:b/>
          <w:sz w:val="28"/>
          <w:szCs w:val="28"/>
        </w:rPr>
      </w:pPr>
    </w:p>
    <w:p w14:paraId="27D74224">
      <w:pPr>
        <w:spacing w:line="560" w:lineRule="exact"/>
        <w:ind w:firstLine="562" w:firstLineChars="200"/>
        <w:rPr>
          <w:rFonts w:ascii="宋体" w:hAnsi="宋体"/>
          <w:b/>
          <w:sz w:val="28"/>
          <w:szCs w:val="28"/>
        </w:rPr>
      </w:pPr>
      <w:r>
        <w:rPr>
          <w:rFonts w:hint="eastAsia" w:ascii="宋体" w:hAnsi="宋体"/>
          <w:b/>
          <w:sz w:val="28"/>
          <w:szCs w:val="28"/>
        </w:rPr>
        <w:t>（六）落实风险防范、化解的有关建议</w:t>
      </w:r>
    </w:p>
    <w:p w14:paraId="1BAC93E9">
      <w:pPr>
        <w:spacing w:line="560" w:lineRule="exact"/>
        <w:ind w:firstLine="560" w:firstLineChars="200"/>
        <w:rPr>
          <w:rFonts w:ascii="宋体" w:hAnsi="宋体"/>
          <w:sz w:val="28"/>
          <w:szCs w:val="28"/>
        </w:rPr>
      </w:pPr>
      <w:r>
        <w:rPr>
          <w:rFonts w:hint="eastAsia" w:ascii="宋体" w:hAnsi="宋体"/>
          <w:sz w:val="28"/>
          <w:szCs w:val="28"/>
        </w:rPr>
        <w:t>1、进一步加强对规划人口及学龄前儿童规模及分布的预测；</w:t>
      </w:r>
    </w:p>
    <w:p w14:paraId="4F4C799C">
      <w:pPr>
        <w:spacing w:line="560" w:lineRule="exact"/>
        <w:ind w:firstLine="560" w:firstLineChars="200"/>
        <w:rPr>
          <w:rFonts w:ascii="宋体" w:hAnsi="宋体"/>
          <w:sz w:val="28"/>
          <w:szCs w:val="28"/>
        </w:rPr>
      </w:pPr>
      <w:r>
        <w:rPr>
          <w:rFonts w:hint="eastAsia" w:ascii="宋体" w:hAnsi="宋体"/>
          <w:sz w:val="28"/>
          <w:szCs w:val="28"/>
        </w:rPr>
        <w:t>2、增强对规划范围内不同区域配建标准的研究；</w:t>
      </w:r>
    </w:p>
    <w:p w14:paraId="7406B630">
      <w:pPr>
        <w:spacing w:line="560" w:lineRule="exact"/>
        <w:ind w:firstLine="560" w:firstLineChars="200"/>
        <w:rPr>
          <w:rFonts w:ascii="宋体" w:hAnsi="宋体"/>
          <w:sz w:val="28"/>
          <w:szCs w:val="28"/>
        </w:rPr>
      </w:pPr>
      <w:r>
        <w:rPr>
          <w:rFonts w:hint="eastAsia" w:ascii="宋体" w:hAnsi="宋体"/>
          <w:sz w:val="28"/>
          <w:szCs w:val="28"/>
        </w:rPr>
        <w:t>3、完善教育设施的撤、并、转、建分类规划内容；</w:t>
      </w:r>
    </w:p>
    <w:p w14:paraId="692955B4">
      <w:pPr>
        <w:spacing w:line="560" w:lineRule="exact"/>
        <w:ind w:firstLine="560" w:firstLineChars="200"/>
        <w:rPr>
          <w:rFonts w:ascii="宋体" w:hAnsi="宋体"/>
          <w:sz w:val="28"/>
          <w:szCs w:val="28"/>
        </w:rPr>
      </w:pPr>
      <w:r>
        <w:rPr>
          <w:rFonts w:hint="eastAsia" w:ascii="宋体" w:hAnsi="宋体"/>
          <w:sz w:val="28"/>
          <w:szCs w:val="28"/>
        </w:rPr>
        <w:t>4、进一步加强和控规用地的衔接，明确幼儿园的布局位置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A67AD">
    <w:pPr>
      <w:pStyle w:val="2"/>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path/>
          <v:fill on="f" focussize="0,0"/>
          <v:stroke on="f" weight="0.5pt" joinstyle="miter"/>
          <v:imagedata o:title=""/>
          <o:lock v:ext="edit"/>
          <v:textbox inset="0mm,0mm,0mm,0mm" style="mso-fit-shape-to-text:t;">
            <w:txbxContent>
              <w:p w14:paraId="6076DD2F">
                <w:pPr>
                  <w:pStyle w:val="2"/>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E2NzdjYTFjNmE3ZjU5NWIzNTIwZDBiYzZhOTdhYjcifQ=="/>
  </w:docVars>
  <w:rsids>
    <w:rsidRoot w:val="009C3F27"/>
    <w:rsid w:val="00050B57"/>
    <w:rsid w:val="0022742D"/>
    <w:rsid w:val="002318A0"/>
    <w:rsid w:val="00257A27"/>
    <w:rsid w:val="00276AD4"/>
    <w:rsid w:val="002E03A3"/>
    <w:rsid w:val="00310090"/>
    <w:rsid w:val="00363A6B"/>
    <w:rsid w:val="003B6FE1"/>
    <w:rsid w:val="003E0578"/>
    <w:rsid w:val="003F4A6F"/>
    <w:rsid w:val="004D1724"/>
    <w:rsid w:val="00572AE4"/>
    <w:rsid w:val="00577085"/>
    <w:rsid w:val="006C7800"/>
    <w:rsid w:val="007447DF"/>
    <w:rsid w:val="007D0355"/>
    <w:rsid w:val="00813E50"/>
    <w:rsid w:val="00861B24"/>
    <w:rsid w:val="00893DB1"/>
    <w:rsid w:val="008B285C"/>
    <w:rsid w:val="008F3DAE"/>
    <w:rsid w:val="00951F47"/>
    <w:rsid w:val="00970099"/>
    <w:rsid w:val="00985A77"/>
    <w:rsid w:val="0099429A"/>
    <w:rsid w:val="009C3F27"/>
    <w:rsid w:val="00A477F6"/>
    <w:rsid w:val="00A54701"/>
    <w:rsid w:val="00A7477A"/>
    <w:rsid w:val="00AA10F0"/>
    <w:rsid w:val="00AD1FC2"/>
    <w:rsid w:val="00AF4B7A"/>
    <w:rsid w:val="00AF63C0"/>
    <w:rsid w:val="00B04C84"/>
    <w:rsid w:val="00B435E1"/>
    <w:rsid w:val="00B5112B"/>
    <w:rsid w:val="00C166C9"/>
    <w:rsid w:val="00C3335A"/>
    <w:rsid w:val="00D06917"/>
    <w:rsid w:val="00D52859"/>
    <w:rsid w:val="00D600D3"/>
    <w:rsid w:val="00D60BEF"/>
    <w:rsid w:val="00DF2304"/>
    <w:rsid w:val="00E60DA2"/>
    <w:rsid w:val="00E61EBA"/>
    <w:rsid w:val="00E71F8D"/>
    <w:rsid w:val="00F1257D"/>
    <w:rsid w:val="00F43070"/>
    <w:rsid w:val="00F71B24"/>
    <w:rsid w:val="00F855E6"/>
    <w:rsid w:val="00F90B64"/>
    <w:rsid w:val="00FB25A9"/>
    <w:rsid w:val="06D82569"/>
    <w:rsid w:val="11F75B6B"/>
    <w:rsid w:val="125130E3"/>
    <w:rsid w:val="19C94EA8"/>
    <w:rsid w:val="1B07123F"/>
    <w:rsid w:val="20B6194E"/>
    <w:rsid w:val="21A12811"/>
    <w:rsid w:val="22D1532E"/>
    <w:rsid w:val="2365612D"/>
    <w:rsid w:val="253B2008"/>
    <w:rsid w:val="2AC85143"/>
    <w:rsid w:val="2D1C2552"/>
    <w:rsid w:val="30F215C4"/>
    <w:rsid w:val="36396F58"/>
    <w:rsid w:val="38A47B71"/>
    <w:rsid w:val="3B2109CD"/>
    <w:rsid w:val="3C7A5402"/>
    <w:rsid w:val="3CF406FD"/>
    <w:rsid w:val="43B17BC7"/>
    <w:rsid w:val="4F96721E"/>
    <w:rsid w:val="4FB75FC5"/>
    <w:rsid w:val="505B6EA4"/>
    <w:rsid w:val="53B95AC0"/>
    <w:rsid w:val="55D17294"/>
    <w:rsid w:val="58AE40FA"/>
    <w:rsid w:val="5AFA194B"/>
    <w:rsid w:val="5B6C20DF"/>
    <w:rsid w:val="5FAF3E6E"/>
    <w:rsid w:val="665F3EC6"/>
    <w:rsid w:val="6D6F1163"/>
    <w:rsid w:val="6DC10D92"/>
    <w:rsid w:val="6E966CB6"/>
    <w:rsid w:val="720B3B4F"/>
    <w:rsid w:val="72781418"/>
    <w:rsid w:val="734736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5111</Words>
  <Characters>5543</Characters>
  <Lines>42</Lines>
  <Paragraphs>12</Paragraphs>
  <TotalTime>0</TotalTime>
  <ScaleCrop>false</ScaleCrop>
  <LinksUpToDate>false</LinksUpToDate>
  <CharactersWithSpaces>5633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2019-12-09T01:55:00Z</dcterms:created>
  <dc:creator>acer</dc:creator>
  <cp:lastModifiedBy>中意你</cp:lastModifiedBy>
  <cp:lastPrinted>2019-12-09T05:29:00Z</cp:lastPrinted>
  <dcterms:modified xsi:type="dcterms:W3CDTF">2024-11-12T06:35:05Z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8A93CE3DC8F04AA88CCDBE3F285388D4_12</vt:lpwstr>
  </property>
</Properties>
</file>