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autoSpaceDE/>
        <w:autoSpaceDN/>
        <w:bidi w:val="0"/>
        <w:spacing w:line="560" w:lineRule="exact"/>
        <w:jc w:val="center"/>
        <w:textAlignment w:val="auto"/>
        <w:rPr>
          <w:rFonts w:ascii="方正小标宋简体" w:hAnsi="方正小标宋简体" w:eastAsia="方正小标宋简体" w:cs="方正小标宋简体"/>
          <w:b w:val="0"/>
          <w:bCs w:val="0"/>
          <w:sz w:val="44"/>
        </w:rPr>
      </w:pPr>
      <w:r>
        <w:rPr>
          <w:rFonts w:hint="eastAsia" w:ascii="方正小标宋简体" w:hAnsi="方正小标宋简体" w:eastAsia="方正小标宋简体" w:cs="方正小标宋简体"/>
          <w:b w:val="0"/>
          <w:bCs w:val="0"/>
          <w:sz w:val="44"/>
        </w:rPr>
        <w:t>烟台市莱山区2023年度区级预算执行和其他财政收支</w:t>
      </w:r>
      <w:r>
        <w:rPr>
          <w:rFonts w:hint="eastAsia" w:ascii="方正小标宋简体" w:hAnsi="方正小标宋简体" w:eastAsia="方正小标宋简体" w:cs="方正小标宋简体"/>
          <w:b w:val="0"/>
          <w:bCs w:val="0"/>
          <w:sz w:val="44"/>
          <w:lang w:val="en-US" w:eastAsia="zh-CN"/>
        </w:rPr>
        <w:t>情况的</w:t>
      </w:r>
      <w:r>
        <w:rPr>
          <w:rFonts w:hint="eastAsia" w:ascii="方正小标宋简体" w:hAnsi="方正小标宋简体" w:eastAsia="方正小标宋简体" w:cs="方正小标宋简体"/>
          <w:b w:val="0"/>
          <w:bCs w:val="0"/>
          <w:sz w:val="44"/>
        </w:rPr>
        <w:t>审计工作报告</w:t>
      </w:r>
    </w:p>
    <w:p>
      <w:pPr>
        <w:keepNext w:val="0"/>
        <w:keepLines w:val="0"/>
        <w:pageBreakBefore w:val="0"/>
        <w:kinsoku/>
        <w:wordWrap/>
        <w:topLinePunct w:val="0"/>
        <w:autoSpaceDE/>
        <w:autoSpaceDN/>
        <w:bidi w:val="0"/>
        <w:spacing w:line="560" w:lineRule="exact"/>
        <w:ind w:firstLine="730" w:firstLineChars="166"/>
        <w:jc w:val="center"/>
        <w:textAlignment w:val="auto"/>
        <w:rPr>
          <w:rFonts w:ascii="宋体" w:hAnsi="宋体"/>
          <w:b w:val="0"/>
          <w:bCs w:val="0"/>
          <w:sz w:val="44"/>
        </w:rPr>
      </w:pP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ascii="仿宋_GB2312" w:hAnsi="仿宋_GB2312" w:cs="仿宋_GB2312"/>
          <w:b w:val="0"/>
          <w:bCs w:val="0"/>
          <w:highlight w:val="yellow"/>
          <w:lang w:eastAsia="zh-CN"/>
        </w:rPr>
      </w:pPr>
      <w:r>
        <w:rPr>
          <w:rFonts w:hint="eastAsia" w:ascii="仿宋_GB2312" w:hAnsi="仿宋_GB2312" w:cs="仿宋_GB2312"/>
          <w:b w:val="0"/>
          <w:bCs w:val="0"/>
        </w:rPr>
        <w:t>根据审计法规定和区委审计委员会批准的审计项目计划，区审计局组织对2023年度区级</w:t>
      </w:r>
      <w:r>
        <w:rPr>
          <w:rFonts w:hint="eastAsia" w:ascii="仿宋_GB2312" w:hAnsi="仿宋_GB2312" w:cs="仿宋_GB2312"/>
          <w:b w:val="0"/>
          <w:bCs w:val="0"/>
          <w:lang w:val="en-US" w:eastAsia="zh-CN"/>
        </w:rPr>
        <w:t>财政</w:t>
      </w:r>
      <w:r>
        <w:rPr>
          <w:rFonts w:hint="eastAsia" w:ascii="仿宋_GB2312" w:hAnsi="仿宋_GB2312" w:cs="仿宋_GB2312"/>
          <w:b w:val="0"/>
          <w:bCs w:val="0"/>
        </w:rPr>
        <w:t>预算执行和其他财政收支情况</w:t>
      </w:r>
      <w:r>
        <w:rPr>
          <w:rFonts w:hint="eastAsia" w:ascii="仿宋_GB2312" w:hAnsi="仿宋_GB2312" w:cs="仿宋_GB2312"/>
          <w:b w:val="0"/>
          <w:bCs w:val="0"/>
          <w:lang w:eastAsia="zh-CN"/>
        </w:rPr>
        <w:t>、烟台市莱山区</w:t>
      </w:r>
      <w:r>
        <w:rPr>
          <w:rFonts w:hint="eastAsia" w:ascii="仿宋_GB2312" w:hAnsi="仿宋_GB2312" w:cs="仿宋_GB2312"/>
          <w:b w:val="0"/>
          <w:bCs w:val="0"/>
          <w:lang w:val="en-US" w:eastAsia="zh-CN"/>
        </w:rPr>
        <w:t>卫生健康局2023年度预算执行和其他财政收支情况、2023年莱山区网络安全和信息化建设情况</w:t>
      </w:r>
      <w:r>
        <w:rPr>
          <w:rFonts w:hint="eastAsia" w:ascii="仿宋_GB2312" w:hAnsi="仿宋_GB2312" w:cs="仿宋_GB2312"/>
          <w:b w:val="0"/>
          <w:bCs w:val="0"/>
        </w:rPr>
        <w:t>进行了审计</w:t>
      </w:r>
      <w:r>
        <w:rPr>
          <w:rFonts w:hint="eastAsia" w:ascii="仿宋_GB2312" w:hAnsi="仿宋_GB2312" w:cs="仿宋_GB2312"/>
          <w:b w:val="0"/>
          <w:bCs w:val="0"/>
          <w:lang w:val="en-US" w:eastAsia="zh-CN"/>
        </w:rPr>
        <w:t>或审计调查</w:t>
      </w:r>
      <w:r>
        <w:rPr>
          <w:rFonts w:hint="eastAsia" w:ascii="仿宋_GB2312" w:hAnsi="仿宋_GB2312" w:cs="仿宋_GB2312"/>
          <w:b w:val="0"/>
          <w:bCs w:val="0"/>
        </w:rPr>
        <w:t>。审计结果表明，2023年，</w:t>
      </w:r>
      <w:r>
        <w:rPr>
          <w:rFonts w:hint="eastAsia" w:ascii="仿宋_GB2312" w:hAnsi="仿宋_GB2312" w:cs="仿宋_GB2312"/>
          <w:b w:val="0"/>
          <w:bCs w:val="0"/>
          <w:lang w:val="en-US" w:eastAsia="zh-CN"/>
        </w:rPr>
        <w:t>我区</w:t>
      </w:r>
      <w:r>
        <w:rPr>
          <w:rFonts w:hint="eastAsia" w:ascii="仿宋_GB2312" w:hAnsi="仿宋_GB2312" w:cs="仿宋_GB2312"/>
          <w:b w:val="0"/>
          <w:bCs w:val="0"/>
        </w:rPr>
        <w:t>财税改革不断深化，财政收支运行平稳，预算绩效管理逐步加强，2023年度预算执行和其他财政收支情</w:t>
      </w:r>
      <w:r>
        <w:rPr>
          <w:rFonts w:hint="eastAsia" w:ascii="仿宋_GB2312" w:hAnsi="仿宋_GB2312" w:cs="仿宋_GB2312"/>
          <w:b w:val="0"/>
          <w:bCs w:val="0"/>
          <w:highlight w:val="none"/>
        </w:rPr>
        <w:t>况较好</w:t>
      </w:r>
      <w:r>
        <w:rPr>
          <w:rFonts w:hint="eastAsia" w:ascii="仿宋_GB2312" w:hAnsi="仿宋_GB2312" w:cs="仿宋_GB2312"/>
          <w:b w:val="0"/>
          <w:bCs w:val="0"/>
          <w:highlight w:val="none"/>
          <w:lang w:eastAsia="zh-CN"/>
        </w:rPr>
        <w:t>，但</w:t>
      </w:r>
      <w:r>
        <w:rPr>
          <w:rFonts w:hint="eastAsia" w:ascii="仿宋_GB2312" w:hAnsi="仿宋_GB2312" w:cs="仿宋_GB2312"/>
          <w:b w:val="0"/>
          <w:bCs w:val="0"/>
          <w:highlight w:val="none"/>
          <w:lang w:val="en-US" w:eastAsia="zh-CN"/>
        </w:rPr>
        <w:t>在预决算管理等方面仍存在一些问题</w:t>
      </w:r>
      <w:r>
        <w:rPr>
          <w:rFonts w:hint="eastAsia" w:ascii="仿宋_GB2312" w:hAnsi="仿宋_GB2312" w:cs="仿宋_GB2312"/>
          <w:b w:val="0"/>
          <w:bCs w:val="0"/>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b w:val="0"/>
          <w:bCs w:val="0"/>
        </w:rPr>
      </w:pPr>
      <w:r>
        <w:rPr>
          <w:rFonts w:hint="eastAsia" w:ascii="黑体" w:hAnsi="黑体" w:eastAsia="黑体"/>
          <w:b w:val="0"/>
          <w:bCs w:val="0"/>
        </w:rPr>
        <w:t>审计发现的主要问题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eastAsia="楷体_GB2312"/>
          <w:b w:val="0"/>
          <w:bCs w:val="0"/>
          <w:lang w:val="en-US" w:eastAsia="zh-CN"/>
        </w:rPr>
      </w:pPr>
      <w:r>
        <w:rPr>
          <w:rFonts w:hint="eastAsia"/>
          <w:b w:val="0"/>
          <w:bCs w:val="0"/>
          <w:lang w:val="en-US" w:eastAsia="zh-CN"/>
        </w:rPr>
        <w:t xml:space="preserve">    </w:t>
      </w:r>
      <w:r>
        <w:rPr>
          <w:rFonts w:hint="eastAsia" w:ascii="楷体_GB2312" w:hAnsi="楷体_GB2312" w:eastAsia="楷体_GB2312" w:cs="楷体_GB2312"/>
          <w:b w:val="0"/>
          <w:bCs w:val="0"/>
          <w:sz w:val="32"/>
          <w:szCs w:val="32"/>
          <w:lang w:val="en-US" w:eastAsia="zh-CN"/>
        </w:rPr>
        <w:t xml:space="preserve"> </w:t>
      </w:r>
      <w:r>
        <w:rPr>
          <w:rFonts w:hint="eastAsia" w:ascii="楷体_GB2312" w:hAnsi="楷体_GB2312" w:eastAsia="楷体_GB2312" w:cs="楷体_GB2312"/>
          <w:b w:val="0"/>
          <w:bCs w:val="0"/>
          <w:sz w:val="32"/>
          <w:szCs w:val="32"/>
          <w:u w:val="none"/>
          <w:lang w:val="en-US" w:eastAsia="zh-CN"/>
        </w:rPr>
        <w:t>（一）</w:t>
      </w:r>
      <w:r>
        <w:rPr>
          <w:rFonts w:hint="eastAsia" w:ascii="楷体_GB2312" w:hAnsi="楷体_GB2312" w:eastAsia="楷体_GB2312" w:cs="楷体_GB2312"/>
          <w:b w:val="0"/>
          <w:bCs w:val="0"/>
          <w:sz w:val="32"/>
          <w:szCs w:val="32"/>
          <w:u w:val="none"/>
        </w:rPr>
        <w:t>预决算管理</w:t>
      </w:r>
      <w:r>
        <w:rPr>
          <w:rFonts w:hint="eastAsia" w:ascii="楷体_GB2312" w:hAnsi="楷体_GB2312" w:eastAsia="楷体_GB2312" w:cs="楷体_GB2312"/>
          <w:b w:val="0"/>
          <w:bCs w:val="0"/>
          <w:sz w:val="32"/>
          <w:szCs w:val="32"/>
          <w:u w:val="none"/>
          <w:lang w:val="en-US" w:eastAsia="zh-CN"/>
        </w:rPr>
        <w:t>审计情况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cs="仿宋_GB2312"/>
          <w:b w:val="0"/>
          <w:bCs w:val="0"/>
          <w:kern w:val="0"/>
          <w:szCs w:val="32"/>
        </w:rPr>
      </w:pPr>
      <w:r>
        <w:rPr>
          <w:rFonts w:hint="eastAsia" w:ascii="仿宋_GB2312" w:hAnsi="仿宋_GB2312" w:eastAsia="仿宋_GB2312" w:cs="仿宋_GB2312"/>
          <w:b w:val="0"/>
          <w:bCs w:val="0"/>
          <w:szCs w:val="32"/>
          <w:u w:val="none"/>
        </w:rPr>
        <w:t>1.预算编制不完整。</w:t>
      </w:r>
      <w:r>
        <w:rPr>
          <w:rFonts w:hint="eastAsia" w:ascii="仿宋_GB2312" w:cs="仿宋_GB2312"/>
          <w:b w:val="0"/>
          <w:bCs w:val="0"/>
          <w:kern w:val="0"/>
          <w:szCs w:val="32"/>
        </w:rPr>
        <w:t>一是非财政拨款结余资金242</w:t>
      </w:r>
      <w:r>
        <w:rPr>
          <w:rFonts w:ascii="仿宋_GB2312" w:cs="仿宋_GB2312"/>
          <w:b w:val="0"/>
          <w:bCs w:val="0"/>
          <w:kern w:val="0"/>
          <w:szCs w:val="32"/>
        </w:rPr>
        <w:t>.</w:t>
      </w:r>
      <w:r>
        <w:rPr>
          <w:rFonts w:hint="eastAsia" w:ascii="仿宋_GB2312" w:cs="仿宋_GB2312"/>
          <w:b w:val="0"/>
          <w:bCs w:val="0"/>
          <w:kern w:val="0"/>
          <w:szCs w:val="32"/>
        </w:rPr>
        <w:t>1</w:t>
      </w:r>
      <w:r>
        <w:rPr>
          <w:rFonts w:ascii="仿宋_GB2312" w:cs="仿宋_GB2312"/>
          <w:b w:val="0"/>
          <w:bCs w:val="0"/>
          <w:kern w:val="0"/>
          <w:szCs w:val="32"/>
        </w:rPr>
        <w:t>3</w:t>
      </w:r>
      <w:r>
        <w:rPr>
          <w:rFonts w:hint="eastAsia" w:ascii="仿宋_GB2312" w:cs="仿宋_GB2312"/>
          <w:b w:val="0"/>
          <w:bCs w:val="0"/>
          <w:kern w:val="0"/>
          <w:szCs w:val="32"/>
        </w:rPr>
        <w:t>万元未按要求编列年初预算，未纳入预算统筹使用；二是</w:t>
      </w:r>
      <w:r>
        <w:rPr>
          <w:rFonts w:hint="eastAsia" w:ascii="仿宋_GB2312" w:cs="仿宋_GB2312"/>
          <w:b w:val="0"/>
          <w:bCs w:val="0"/>
          <w:kern w:val="0"/>
          <w:szCs w:val="32"/>
          <w:lang w:val="en-US" w:eastAsia="zh-CN"/>
        </w:rPr>
        <w:t>2个</w:t>
      </w:r>
      <w:r>
        <w:rPr>
          <w:rFonts w:hint="eastAsia" w:ascii="仿宋_GB2312" w:cs="仿宋_GB2312"/>
          <w:b w:val="0"/>
          <w:bCs w:val="0"/>
          <w:kern w:val="0"/>
          <w:szCs w:val="32"/>
        </w:rPr>
        <w:t>项目未做政府购买服务预算，涉及资金8</w:t>
      </w:r>
      <w:r>
        <w:rPr>
          <w:rFonts w:ascii="仿宋_GB2312" w:cs="仿宋_GB2312"/>
          <w:b w:val="0"/>
          <w:bCs w:val="0"/>
          <w:kern w:val="0"/>
          <w:szCs w:val="32"/>
        </w:rPr>
        <w:t>.5</w:t>
      </w:r>
      <w:r>
        <w:rPr>
          <w:rFonts w:hint="eastAsia" w:ascii="仿宋_GB2312" w:cs="仿宋_GB2312"/>
          <w:b w:val="0"/>
          <w:bCs w:val="0"/>
          <w:kern w:val="0"/>
          <w:szCs w:val="32"/>
        </w:rPr>
        <w:t>万元。</w:t>
      </w: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ascii="仿宋" w:hAnsi="仿宋" w:eastAsia="仿宋" w:cs="仿宋"/>
          <w:b w:val="0"/>
          <w:bCs w:val="0"/>
          <w:kern w:val="0"/>
          <w:szCs w:val="32"/>
        </w:rPr>
      </w:pPr>
      <w:r>
        <w:rPr>
          <w:rFonts w:hint="eastAsia" w:ascii="仿宋_GB2312" w:hAnsi="仿宋_GB2312" w:eastAsia="仿宋_GB2312" w:cs="仿宋_GB2312"/>
          <w:b w:val="0"/>
          <w:bCs w:val="0"/>
          <w:szCs w:val="32"/>
          <w:u w:val="none"/>
        </w:rPr>
        <w:t>2.非税收入收缴管理不规范。</w:t>
      </w:r>
      <w:r>
        <w:rPr>
          <w:rFonts w:hint="eastAsia" w:ascii="仿宋_GB2312" w:cs="仿宋_GB2312"/>
          <w:b w:val="0"/>
          <w:bCs w:val="0"/>
          <w:kern w:val="0"/>
          <w:szCs w:val="32"/>
        </w:rPr>
        <w:t>一是13个部门街道滞留非税收入849.97万元，未及时上缴财政；二是非税收入历史欠费尚有17.6万元未征缴到位；</w:t>
      </w:r>
      <w:r>
        <w:rPr>
          <w:rFonts w:hint="eastAsia" w:ascii="仿宋_GB2312" w:cs="仿宋_GB2312"/>
          <w:b w:val="0"/>
          <w:bCs w:val="0"/>
          <w:kern w:val="0"/>
          <w:szCs w:val="32"/>
          <w:lang w:eastAsia="zh-CN"/>
        </w:rPr>
        <w:t>三</w:t>
      </w:r>
      <w:r>
        <w:rPr>
          <w:rFonts w:hint="eastAsia" w:ascii="仿宋_GB2312" w:cs="仿宋_GB2312"/>
          <w:b w:val="0"/>
          <w:bCs w:val="0"/>
          <w:kern w:val="0"/>
          <w:szCs w:val="32"/>
        </w:rPr>
        <w:t>是财政专户等账户结存非税收入5849.82万元，当年未及时入库。</w:t>
      </w:r>
    </w:p>
    <w:p>
      <w:pPr>
        <w:pStyle w:val="3"/>
        <w:keepNext w:val="0"/>
        <w:keepLines w:val="0"/>
        <w:pageBreakBefore w:val="0"/>
        <w:kinsoku/>
        <w:wordWrap/>
        <w:topLinePunct w:val="0"/>
        <w:autoSpaceDE/>
        <w:autoSpaceDN/>
        <w:bidi w:val="0"/>
        <w:spacing w:after="0" w:line="560" w:lineRule="exact"/>
        <w:ind w:firstLine="640"/>
        <w:jc w:val="both"/>
        <w:textAlignment w:val="auto"/>
        <w:rPr>
          <w:rFonts w:ascii="仿宋_GB2312" w:cs="仿宋_GB2312"/>
          <w:b w:val="0"/>
          <w:bCs w:val="0"/>
          <w:kern w:val="0"/>
          <w:szCs w:val="32"/>
        </w:rPr>
      </w:pPr>
      <w:r>
        <w:rPr>
          <w:rFonts w:hint="eastAsia" w:ascii="仿宋_GB2312" w:hAnsi="仿宋_GB2312" w:eastAsia="仿宋_GB2312" w:cs="仿宋_GB2312"/>
          <w:b w:val="0"/>
          <w:bCs w:val="0"/>
          <w:kern w:val="2"/>
          <w:sz w:val="32"/>
          <w:szCs w:val="32"/>
          <w:u w:val="none"/>
          <w:lang w:val="en-US" w:eastAsia="zh-CN" w:bidi="ar-SA"/>
        </w:rPr>
        <w:t>3.部分项目预算执行率低。</w:t>
      </w:r>
      <w:r>
        <w:rPr>
          <w:rFonts w:hint="eastAsia" w:ascii="仿宋_GB2312" w:cs="仿宋_GB2312"/>
          <w:b w:val="0"/>
          <w:bCs w:val="0"/>
          <w:kern w:val="0"/>
          <w:szCs w:val="32"/>
        </w:rPr>
        <w:t>10个部门单位的98个项目执行率低于50%，其中67个项目2994</w:t>
      </w:r>
      <w:r>
        <w:rPr>
          <w:rFonts w:ascii="仿宋_GB2312" w:cs="仿宋_GB2312"/>
          <w:b w:val="0"/>
          <w:bCs w:val="0"/>
          <w:kern w:val="0"/>
          <w:szCs w:val="32"/>
        </w:rPr>
        <w:t>.</w:t>
      </w:r>
      <w:r>
        <w:rPr>
          <w:rFonts w:hint="eastAsia" w:ascii="仿宋_GB2312" w:cs="仿宋_GB2312"/>
          <w:b w:val="0"/>
          <w:bCs w:val="0"/>
          <w:kern w:val="0"/>
          <w:szCs w:val="32"/>
        </w:rPr>
        <w:t>4</w:t>
      </w:r>
      <w:r>
        <w:rPr>
          <w:rFonts w:ascii="仿宋_GB2312" w:cs="仿宋_GB2312"/>
          <w:b w:val="0"/>
          <w:bCs w:val="0"/>
          <w:kern w:val="0"/>
          <w:szCs w:val="32"/>
        </w:rPr>
        <w:t>8</w:t>
      </w:r>
      <w:r>
        <w:rPr>
          <w:rFonts w:hint="eastAsia" w:ascii="仿宋_GB2312" w:cs="仿宋_GB2312"/>
          <w:b w:val="0"/>
          <w:bCs w:val="0"/>
          <w:kern w:val="0"/>
          <w:szCs w:val="32"/>
        </w:rPr>
        <w:t>万元全部未支出；3个部门应执行未执行政府采购预算2</w:t>
      </w:r>
      <w:r>
        <w:rPr>
          <w:rFonts w:ascii="仿宋_GB2312" w:cs="仿宋_GB2312"/>
          <w:b w:val="0"/>
          <w:bCs w:val="0"/>
          <w:kern w:val="0"/>
          <w:szCs w:val="32"/>
        </w:rPr>
        <w:t>.</w:t>
      </w:r>
      <w:r>
        <w:rPr>
          <w:rFonts w:hint="eastAsia" w:ascii="仿宋_GB2312" w:cs="仿宋_GB2312"/>
          <w:b w:val="0"/>
          <w:bCs w:val="0"/>
          <w:kern w:val="0"/>
          <w:szCs w:val="32"/>
        </w:rPr>
        <w:t>4万元，影响了财政资金的使用效益。</w:t>
      </w:r>
    </w:p>
    <w:p>
      <w:pPr>
        <w:pStyle w:val="3"/>
        <w:keepNext w:val="0"/>
        <w:keepLines w:val="0"/>
        <w:pageBreakBefore w:val="0"/>
        <w:kinsoku/>
        <w:wordWrap/>
        <w:topLinePunct w:val="0"/>
        <w:autoSpaceDE/>
        <w:autoSpaceDN/>
        <w:bidi w:val="0"/>
        <w:spacing w:after="0" w:line="560" w:lineRule="exact"/>
        <w:ind w:firstLine="640"/>
        <w:jc w:val="both"/>
        <w:textAlignment w:val="auto"/>
        <w:rPr>
          <w:rFonts w:ascii="仿宋_GB2312" w:cs="仿宋_GB2312"/>
          <w:b w:val="0"/>
          <w:bCs w:val="0"/>
          <w:kern w:val="0"/>
          <w:szCs w:val="32"/>
        </w:rPr>
      </w:pPr>
      <w:r>
        <w:rPr>
          <w:rFonts w:hint="eastAsia" w:ascii="仿宋_GB2312" w:hAnsi="仿宋_GB2312" w:eastAsia="仿宋_GB2312" w:cs="仿宋_GB2312"/>
          <w:b w:val="0"/>
          <w:bCs w:val="0"/>
          <w:kern w:val="2"/>
          <w:sz w:val="32"/>
          <w:szCs w:val="32"/>
          <w:u w:val="none"/>
          <w:lang w:val="en-US" w:eastAsia="zh-CN" w:bidi="ar-SA"/>
        </w:rPr>
        <w:t>4.一般性支出压减不到位。</w:t>
      </w:r>
      <w:r>
        <w:rPr>
          <w:rFonts w:hint="eastAsia" w:ascii="仿宋_GB2312" w:hAnsi="仿宋_GB2312" w:cs="仿宋_GB2312"/>
          <w:b w:val="0"/>
          <w:bCs w:val="0"/>
          <w:szCs w:val="32"/>
        </w:rPr>
        <w:t>3个部门单位未按照要求对“五项经费”预算进行压减，2023年五项费用</w:t>
      </w:r>
      <w:r>
        <w:rPr>
          <w:rFonts w:hint="eastAsia" w:ascii="仿宋_GB2312" w:cs="仿宋_GB2312"/>
          <w:b w:val="0"/>
          <w:bCs w:val="0"/>
          <w:kern w:val="0"/>
          <w:szCs w:val="32"/>
        </w:rPr>
        <w:t>预算增加1万元。</w:t>
      </w:r>
    </w:p>
    <w:p>
      <w:pPr>
        <w:keepNext w:val="0"/>
        <w:keepLines w:val="0"/>
        <w:pageBreakBefore w:val="0"/>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Cs w:val="32"/>
          <w:u w:val="none"/>
          <w:lang w:val="en-US" w:eastAsia="zh-CN"/>
        </w:rPr>
        <w:t>5</w:t>
      </w:r>
      <w:r>
        <w:rPr>
          <w:rFonts w:hint="eastAsia" w:ascii="仿宋_GB2312" w:hAnsi="仿宋_GB2312" w:eastAsia="仿宋_GB2312" w:cs="仿宋_GB2312"/>
          <w:b w:val="0"/>
          <w:bCs w:val="0"/>
          <w:szCs w:val="32"/>
          <w:u w:val="none"/>
        </w:rPr>
        <w:t>.部门预算绩效管理不到位。</w:t>
      </w:r>
      <w:r>
        <w:rPr>
          <w:rFonts w:hint="eastAsia" w:ascii="仿宋_GB2312" w:hAnsi="仿宋_GB2312" w:eastAsia="仿宋_GB2312" w:cs="仿宋_GB2312"/>
          <w:b w:val="0"/>
          <w:bCs w:val="0"/>
          <w:kern w:val="2"/>
          <w:sz w:val="32"/>
          <w:szCs w:val="32"/>
          <w:lang w:val="en-US" w:eastAsia="zh-CN" w:bidi="ar-SA"/>
        </w:rPr>
        <w:t>一是</w:t>
      </w:r>
      <w:r>
        <w:rPr>
          <w:rFonts w:hint="eastAsia" w:ascii="仿宋_GB2312" w:hAnsi="仿宋_GB2312" w:cs="仿宋_GB2312"/>
          <w:b w:val="0"/>
          <w:bCs w:val="0"/>
          <w:kern w:val="2"/>
          <w:sz w:val="32"/>
          <w:szCs w:val="32"/>
          <w:lang w:val="en-US" w:eastAsia="zh-CN" w:bidi="ar-SA"/>
        </w:rPr>
        <w:t>3个</w:t>
      </w:r>
      <w:r>
        <w:rPr>
          <w:rFonts w:hint="eastAsia" w:ascii="仿宋_GB2312" w:hAnsi="仿宋_GB2312" w:eastAsia="仿宋_GB2312" w:cs="仿宋_GB2312"/>
          <w:b w:val="0"/>
          <w:bCs w:val="0"/>
          <w:kern w:val="2"/>
          <w:sz w:val="32"/>
          <w:szCs w:val="32"/>
          <w:lang w:val="en-US" w:eastAsia="zh-CN" w:bidi="ar-SA"/>
        </w:rPr>
        <w:t>项目绩效目标编制不够明确，未具体细化指标值；二是6个单位的22个项目未实行绩效监控；</w:t>
      </w:r>
      <w:r>
        <w:rPr>
          <w:rFonts w:hint="eastAsia" w:ascii="仿宋_GB2312" w:hAnsi="仿宋_GB2312" w:cs="仿宋_GB2312"/>
          <w:b w:val="0"/>
          <w:bCs w:val="0"/>
          <w:kern w:val="2"/>
          <w:sz w:val="32"/>
          <w:szCs w:val="32"/>
          <w:lang w:val="en-US" w:eastAsia="zh-CN" w:bidi="ar-SA"/>
        </w:rPr>
        <w:t>三</w:t>
      </w:r>
      <w:r>
        <w:rPr>
          <w:rFonts w:hint="eastAsia" w:ascii="仿宋_GB2312" w:hAnsi="仿宋_GB2312" w:eastAsia="仿宋_GB2312" w:cs="仿宋_GB2312"/>
          <w:b w:val="0"/>
          <w:bCs w:val="0"/>
          <w:kern w:val="2"/>
          <w:sz w:val="32"/>
          <w:szCs w:val="32"/>
          <w:lang w:val="en-US" w:eastAsia="zh-CN" w:bidi="ar-SA"/>
        </w:rPr>
        <w:t>是3个单位未实现项目支出绩效自评全覆盖。</w:t>
      </w:r>
    </w:p>
    <w:p>
      <w:pPr>
        <w:keepNext w:val="0"/>
        <w:keepLines w:val="0"/>
        <w:pageBreakBefore w:val="0"/>
        <w:kinsoku/>
        <w:wordWrap/>
        <w:topLinePunct w:val="0"/>
        <w:autoSpaceDE/>
        <w:autoSpaceDN/>
        <w:bidi w:val="0"/>
        <w:spacing w:line="560" w:lineRule="exact"/>
        <w:ind w:firstLine="640" w:firstLineChars="200"/>
        <w:jc w:val="both"/>
        <w:textAlignment w:val="auto"/>
        <w:rPr>
          <w:rFonts w:ascii="仿宋_GB2312" w:hAnsi="仿宋_GB2312" w:cs="仿宋_GB2312"/>
          <w:b w:val="0"/>
          <w:bCs w:val="0"/>
          <w:szCs w:val="32"/>
        </w:rPr>
      </w:pPr>
      <w:r>
        <w:rPr>
          <w:rFonts w:hint="eastAsia" w:ascii="仿宋_GB2312" w:hAnsi="仿宋_GB2312" w:eastAsia="仿宋_GB2312" w:cs="仿宋_GB2312"/>
          <w:b w:val="0"/>
          <w:bCs w:val="0"/>
          <w:szCs w:val="32"/>
          <w:u w:val="none"/>
          <w:lang w:val="en-US" w:eastAsia="zh-CN"/>
        </w:rPr>
        <w:t>6</w:t>
      </w:r>
      <w:r>
        <w:rPr>
          <w:rFonts w:hint="eastAsia" w:ascii="仿宋_GB2312" w:hAnsi="仿宋_GB2312" w:eastAsia="仿宋_GB2312" w:cs="仿宋_GB2312"/>
          <w:b w:val="0"/>
          <w:bCs w:val="0"/>
          <w:szCs w:val="32"/>
          <w:u w:val="none"/>
        </w:rPr>
        <w:t>.国有资产管控不严。</w:t>
      </w:r>
      <w:r>
        <w:rPr>
          <w:rFonts w:hint="eastAsia" w:ascii="仿宋_GB2312" w:hAnsi="仿宋_GB2312" w:eastAsia="仿宋_GB2312" w:cs="仿宋_GB2312"/>
          <w:b w:val="0"/>
          <w:bCs w:val="0"/>
          <w:kern w:val="2"/>
          <w:sz w:val="32"/>
          <w:szCs w:val="32"/>
          <w:lang w:val="en-US" w:eastAsia="zh-CN" w:bidi="ar-SA"/>
        </w:rPr>
        <w:t>一是2个单位房产出租收入32.79万元催缴不及时；二是</w:t>
      </w:r>
      <w:r>
        <w:rPr>
          <w:rFonts w:hint="eastAsia" w:ascii="仿宋_GB2312" w:hAnsi="仿宋_GB2312" w:eastAsia="仿宋_GB2312" w:cs="仿宋_GB2312"/>
          <w:b w:val="0"/>
          <w:bCs w:val="0"/>
          <w:sz w:val="32"/>
          <w:szCs w:val="32"/>
          <w:highlight w:val="none"/>
          <w:lang w:val="en-US" w:eastAsia="zh-CN"/>
        </w:rPr>
        <w:t>疾病预防与健康管理云平台</w:t>
      </w:r>
      <w:r>
        <w:rPr>
          <w:rFonts w:hint="eastAsia" w:ascii="仿宋_GB2312" w:hAnsi="仿宋_GB2312" w:eastAsia="仿宋_GB2312" w:cs="仿宋_GB2312"/>
          <w:b w:val="0"/>
          <w:bCs w:val="0"/>
          <w:kern w:val="2"/>
          <w:sz w:val="32"/>
          <w:szCs w:val="32"/>
          <w:lang w:val="en-US" w:eastAsia="zh-CN" w:bidi="ar-SA"/>
        </w:rPr>
        <w:t>180万元未计入</w:t>
      </w:r>
      <w:r>
        <w:rPr>
          <w:rFonts w:hint="eastAsia" w:ascii="仿宋_GB2312" w:hAnsi="仿宋_GB2312" w:cs="仿宋_GB2312"/>
          <w:b w:val="0"/>
          <w:bCs w:val="0"/>
          <w:kern w:val="2"/>
          <w:sz w:val="32"/>
          <w:szCs w:val="32"/>
          <w:lang w:val="en-US" w:eastAsia="zh-CN" w:bidi="ar-SA"/>
        </w:rPr>
        <w:t>无形资产</w:t>
      </w:r>
      <w:r>
        <w:rPr>
          <w:rFonts w:hint="eastAsia" w:ascii="仿宋_GB2312" w:hAnsi="仿宋_GB2312" w:eastAsia="仿宋_GB2312" w:cs="仿宋_GB2312"/>
          <w:b w:val="0"/>
          <w:bCs w:val="0"/>
          <w:kern w:val="2"/>
          <w:sz w:val="32"/>
          <w:szCs w:val="32"/>
          <w:lang w:val="en-US" w:eastAsia="zh-CN" w:bidi="ar-SA"/>
        </w:rPr>
        <w:t>账内核算；三是3个单位11个固定资产投资项目已完工但尚未编报竣工财务决算，未及时转资；四是对疫情防控资产情况掌握不全面，资产的保管、领用、存放等缺乏管理。</w:t>
      </w:r>
    </w:p>
    <w:p>
      <w:pPr>
        <w:keepNext w:val="0"/>
        <w:keepLines w:val="0"/>
        <w:pageBreakBefore w:val="0"/>
        <w:kinsoku/>
        <w:wordWrap/>
        <w:overflowPunct w:val="0"/>
        <w:topLinePunct w:val="0"/>
        <w:autoSpaceDE/>
        <w:autoSpaceDN/>
        <w:bidi w:val="0"/>
        <w:adjustRightInd w:val="0"/>
        <w:spacing w:line="560" w:lineRule="exact"/>
        <w:ind w:firstLine="640" w:firstLineChars="200"/>
        <w:jc w:val="both"/>
        <w:textAlignment w:val="auto"/>
        <w:rPr>
          <w:rFonts w:hint="eastAsia" w:ascii="楷体_GB2312" w:hAnsi="楷体_GB2312" w:eastAsia="楷体_GB2312" w:cs="楷体_GB2312"/>
          <w:b w:val="0"/>
          <w:bCs w:val="0"/>
          <w:szCs w:val="32"/>
          <w:lang w:val="en-US" w:eastAsia="zh-CN"/>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lang w:val="en-US" w:eastAsia="zh-CN"/>
        </w:rPr>
        <w:t>二</w:t>
      </w: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政府专项债券管理使用</w:t>
      </w:r>
      <w:r>
        <w:rPr>
          <w:rFonts w:hint="eastAsia" w:ascii="楷体_GB2312" w:hAnsi="楷体_GB2312" w:eastAsia="楷体_GB2312" w:cs="楷体_GB2312"/>
          <w:b w:val="0"/>
          <w:bCs w:val="0"/>
          <w:szCs w:val="32"/>
          <w:lang w:val="en-US" w:eastAsia="zh-CN"/>
        </w:rPr>
        <w:t>审计情况</w:t>
      </w:r>
    </w:p>
    <w:p>
      <w:pPr>
        <w:keepNext w:val="0"/>
        <w:keepLines w:val="0"/>
        <w:pageBreakBefore w:val="0"/>
        <w:kinsoku/>
        <w:wordWrap/>
        <w:overflowPunct w:val="0"/>
        <w:topLinePunct w:val="0"/>
        <w:autoSpaceDE/>
        <w:autoSpaceDN/>
        <w:bidi w:val="0"/>
        <w:adjustRightInd w:val="0"/>
        <w:spacing w:line="560" w:lineRule="exact"/>
        <w:ind w:firstLine="640" w:firstLineChars="200"/>
        <w:jc w:val="both"/>
        <w:textAlignment w:val="auto"/>
        <w:rPr>
          <w:rFonts w:ascii="仿宋_GB2312" w:hAnsi="仿宋_GB2312" w:cs="仿宋_GB2312"/>
          <w:b w:val="0"/>
          <w:bCs w:val="0"/>
          <w:spacing w:val="-6"/>
          <w:szCs w:val="32"/>
        </w:rPr>
      </w:pPr>
      <w:r>
        <w:rPr>
          <w:rFonts w:hint="eastAsia" w:ascii="仿宋_GB2312" w:hAnsi="仿宋_GB2312" w:eastAsia="仿宋_GB2312" w:cs="仿宋_GB2312"/>
          <w:b w:val="0"/>
          <w:bCs w:val="0"/>
          <w:kern w:val="2"/>
          <w:sz w:val="32"/>
          <w:szCs w:val="32"/>
          <w:lang w:val="en-US" w:eastAsia="zh-CN" w:bidi="ar-SA"/>
        </w:rPr>
        <w:t>一是因征迁原因，</w:t>
      </w:r>
      <w:r>
        <w:rPr>
          <w:rFonts w:hint="eastAsia" w:ascii="仿宋_GB2312" w:hAnsi="仿宋_GB2312" w:eastAsia="仿宋_GB2312" w:cs="仿宋_GB2312"/>
          <w:b w:val="0"/>
          <w:bCs w:val="0"/>
          <w:spacing w:val="-6"/>
          <w:sz w:val="32"/>
          <w:szCs w:val="32"/>
          <w:highlight w:val="none"/>
          <w:u w:val="none"/>
          <w:lang w:val="en-US" w:eastAsia="zh-CN"/>
        </w:rPr>
        <w:t>2020年莱山区总部经济基地园区配套基础设施工程中五卒山北路南侧配套路工</w:t>
      </w:r>
      <w:r>
        <w:rPr>
          <w:rFonts w:hint="eastAsia" w:ascii="仿宋_GB2312" w:hAnsi="仿宋_GB2312" w:eastAsia="仿宋_GB2312" w:cs="仿宋_GB2312"/>
          <w:b w:val="0"/>
          <w:bCs w:val="0"/>
          <w:spacing w:val="-6"/>
          <w:sz w:val="32"/>
          <w:szCs w:val="32"/>
          <w:highlight w:val="none"/>
          <w:lang w:val="en-US" w:eastAsia="zh-CN"/>
        </w:rPr>
        <w:t>程</w:t>
      </w:r>
      <w:r>
        <w:rPr>
          <w:rFonts w:hint="eastAsia" w:ascii="仿宋_GB2312" w:hAnsi="仿宋_GB2312" w:eastAsia="仿宋_GB2312" w:cs="仿宋_GB2312"/>
          <w:b w:val="0"/>
          <w:bCs w:val="0"/>
          <w:kern w:val="2"/>
          <w:sz w:val="32"/>
          <w:szCs w:val="32"/>
          <w:lang w:val="en-US" w:eastAsia="zh-CN" w:bidi="ar-SA"/>
        </w:rPr>
        <w:t>进展缓慢</w:t>
      </w:r>
      <w:r>
        <w:rPr>
          <w:rFonts w:hint="eastAsia" w:ascii="仿宋_GB2312" w:hAnsi="仿宋_GB2312" w:cs="仿宋_GB2312"/>
          <w:b w:val="0"/>
          <w:bCs w:val="0"/>
          <w:kern w:val="2"/>
          <w:sz w:val="32"/>
          <w:szCs w:val="32"/>
          <w:lang w:val="en-US" w:eastAsia="zh-CN" w:bidi="ar-SA"/>
        </w:rPr>
        <w:t>，截至目前约完成工程量的70%</w:t>
      </w:r>
      <w:r>
        <w:rPr>
          <w:rFonts w:hint="eastAsia" w:ascii="仿宋_GB2312" w:hAnsi="仿宋_GB2312" w:eastAsia="仿宋_GB2312" w:cs="仿宋_GB2312"/>
          <w:b w:val="0"/>
          <w:bCs w:val="0"/>
          <w:kern w:val="2"/>
          <w:sz w:val="32"/>
          <w:szCs w:val="32"/>
          <w:lang w:val="en-US" w:eastAsia="zh-CN" w:bidi="ar-SA"/>
        </w:rPr>
        <w:t>；二是</w:t>
      </w:r>
      <w:r>
        <w:rPr>
          <w:rFonts w:hint="eastAsia" w:ascii="仿宋_GB2312" w:hAnsi="仿宋_GB2312" w:eastAsia="仿宋_GB2312" w:cs="仿宋_GB2312"/>
          <w:b w:val="0"/>
          <w:bCs w:val="0"/>
          <w:spacing w:val="-6"/>
          <w:sz w:val="32"/>
          <w:szCs w:val="32"/>
          <w:highlight w:val="none"/>
          <w:lang w:val="en-US" w:eastAsia="zh-CN"/>
        </w:rPr>
        <w:t>2021年莱山经济开发区基础设施配套提升</w:t>
      </w:r>
      <w:r>
        <w:rPr>
          <w:rFonts w:hint="eastAsia" w:ascii="仿宋_GB2312" w:hAnsi="仿宋_GB2312" w:cs="仿宋_GB2312"/>
          <w:b w:val="0"/>
          <w:bCs w:val="0"/>
          <w:spacing w:val="-6"/>
          <w:sz w:val="32"/>
          <w:szCs w:val="32"/>
          <w:highlight w:val="none"/>
          <w:lang w:val="en-US" w:eastAsia="zh-CN"/>
        </w:rPr>
        <w:t>等</w:t>
      </w:r>
      <w:r>
        <w:rPr>
          <w:rFonts w:hint="eastAsia" w:ascii="仿宋_GB2312" w:hAnsi="仿宋_GB2312" w:eastAsia="仿宋_GB2312" w:cs="仿宋_GB2312"/>
          <w:b w:val="0"/>
          <w:bCs w:val="0"/>
          <w:spacing w:val="-6"/>
          <w:sz w:val="32"/>
          <w:szCs w:val="32"/>
          <w:highlight w:val="none"/>
          <w:lang w:val="en-US" w:eastAsia="zh-CN"/>
        </w:rPr>
        <w:t>工程</w:t>
      </w:r>
      <w:r>
        <w:rPr>
          <w:rFonts w:hint="eastAsia" w:ascii="仿宋_GB2312" w:hAnsi="仿宋_GB2312" w:eastAsia="仿宋_GB2312" w:cs="仿宋_GB2312"/>
          <w:b w:val="0"/>
          <w:bCs w:val="0"/>
          <w:kern w:val="2"/>
          <w:sz w:val="32"/>
          <w:szCs w:val="32"/>
          <w:lang w:val="en-US" w:eastAsia="zh-CN" w:bidi="ar-SA"/>
        </w:rPr>
        <w:t>已</w:t>
      </w:r>
      <w:r>
        <w:rPr>
          <w:rFonts w:hint="eastAsia" w:ascii="仿宋_GB2312" w:hAnsi="仿宋_GB2312" w:cs="仿宋_GB2312"/>
          <w:b w:val="0"/>
          <w:bCs w:val="0"/>
          <w:kern w:val="2"/>
          <w:sz w:val="32"/>
          <w:szCs w:val="32"/>
          <w:lang w:val="en-US" w:eastAsia="zh-CN" w:bidi="ar-SA"/>
        </w:rPr>
        <w:t>基本</w:t>
      </w:r>
      <w:r>
        <w:rPr>
          <w:rFonts w:hint="eastAsia" w:ascii="仿宋_GB2312" w:hAnsi="仿宋_GB2312" w:eastAsia="仿宋_GB2312" w:cs="仿宋_GB2312"/>
          <w:b w:val="0"/>
          <w:bCs w:val="0"/>
          <w:kern w:val="2"/>
          <w:sz w:val="32"/>
          <w:szCs w:val="32"/>
          <w:lang w:val="en-US" w:eastAsia="zh-CN" w:bidi="ar-SA"/>
        </w:rPr>
        <w:t>完工投产，</w:t>
      </w:r>
      <w:r>
        <w:rPr>
          <w:rFonts w:hint="eastAsia" w:ascii="仿宋_GB2312" w:hAnsi="仿宋_GB2312" w:cs="仿宋_GB2312"/>
          <w:b w:val="0"/>
          <w:bCs w:val="0"/>
          <w:kern w:val="2"/>
          <w:sz w:val="32"/>
          <w:szCs w:val="32"/>
          <w:lang w:val="en-US" w:eastAsia="zh-CN" w:bidi="ar-SA"/>
        </w:rPr>
        <w:t>但截至目前</w:t>
      </w:r>
      <w:r>
        <w:rPr>
          <w:rFonts w:hint="eastAsia" w:ascii="仿宋_GB2312" w:hAnsi="仿宋_GB2312" w:eastAsia="仿宋_GB2312" w:cs="仿宋_GB2312"/>
          <w:b w:val="0"/>
          <w:bCs w:val="0"/>
          <w:kern w:val="2"/>
          <w:sz w:val="32"/>
          <w:szCs w:val="32"/>
          <w:lang w:val="en-US" w:eastAsia="zh-CN" w:bidi="ar-SA"/>
        </w:rPr>
        <w:t>未取得预期收益。</w:t>
      </w:r>
    </w:p>
    <w:p>
      <w:pPr>
        <w:keepNext w:val="0"/>
        <w:keepLines w:val="0"/>
        <w:pageBreakBefore w:val="0"/>
        <w:kinsoku/>
        <w:wordWrap/>
        <w:overflowPunct w:val="0"/>
        <w:topLinePunct w:val="0"/>
        <w:autoSpaceDE/>
        <w:autoSpaceDN/>
        <w:bidi w:val="0"/>
        <w:adjustRightInd w:val="0"/>
        <w:spacing w:line="560" w:lineRule="exact"/>
        <w:ind w:firstLine="640" w:firstLineChars="200"/>
        <w:jc w:val="both"/>
        <w:textAlignment w:val="auto"/>
        <w:rPr>
          <w:rFonts w:hint="default" w:ascii="楷体_GB2312" w:hAnsi="楷体_GB2312" w:eastAsia="楷体_GB2312" w:cs="楷体_GB2312"/>
          <w:b w:val="0"/>
          <w:bCs w:val="0"/>
          <w:szCs w:val="32"/>
          <w:lang w:val="en-US" w:eastAsia="zh-CN"/>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lang w:val="en-US" w:eastAsia="zh-CN"/>
        </w:rPr>
        <w:t>三</w:t>
      </w:r>
      <w:r>
        <w:rPr>
          <w:rFonts w:hint="eastAsia" w:ascii="楷体_GB2312" w:hAnsi="楷体_GB2312" w:eastAsia="楷体_GB2312" w:cs="楷体_GB2312"/>
          <w:b w:val="0"/>
          <w:bCs w:val="0"/>
          <w:szCs w:val="32"/>
          <w:lang w:eastAsia="zh-CN"/>
        </w:rPr>
        <w:t>）重大政策措施贯彻落实</w:t>
      </w:r>
      <w:r>
        <w:rPr>
          <w:rFonts w:hint="eastAsia" w:ascii="楷体_GB2312" w:hAnsi="楷体_GB2312" w:eastAsia="楷体_GB2312" w:cs="楷体_GB2312"/>
          <w:b w:val="0"/>
          <w:bCs w:val="0"/>
          <w:szCs w:val="32"/>
          <w:lang w:val="en-US" w:eastAsia="zh-CN"/>
        </w:rPr>
        <w:t>审计情况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是2023年支持绿色低碳高质量发展先行区建设资金拨付不及时，涉及599.51万元；二是编制2024年度支出预算时，违规将村级支出和疫情防控支出预算调整出“三保”范围，缩小了“三保”保障范围；三是部分彩票公益金项目预算执行率低</w:t>
      </w:r>
      <w:r>
        <w:rPr>
          <w:rFonts w:hint="eastAsia" w:ascii="仿宋_GB2312" w:hAnsi="仿宋_GB2312" w:cs="仿宋_GB2312"/>
          <w:b w:val="0"/>
          <w:bCs w:val="0"/>
          <w:kern w:val="2"/>
          <w:sz w:val="32"/>
          <w:szCs w:val="32"/>
          <w:lang w:val="en-US" w:eastAsia="zh-CN" w:bidi="ar-SA"/>
        </w:rPr>
        <w:t>，涉及115.8万元</w:t>
      </w:r>
      <w:r>
        <w:rPr>
          <w:rFonts w:hint="eastAsia" w:ascii="仿宋_GB2312" w:hAnsi="仿宋_GB2312" w:eastAsia="仿宋_GB2312" w:cs="仿宋_GB2312"/>
          <w:b w:val="0"/>
          <w:bCs w:val="0"/>
          <w:kern w:val="2"/>
          <w:sz w:val="32"/>
          <w:szCs w:val="32"/>
          <w:lang w:val="en-US" w:eastAsia="zh-CN" w:bidi="ar-SA"/>
        </w:rPr>
        <w:t>。</w:t>
      </w:r>
    </w:p>
    <w:p>
      <w:pPr>
        <w:keepNext w:val="0"/>
        <w:keepLines w:val="0"/>
        <w:pageBreakBefore w:val="0"/>
        <w:kinsoku/>
        <w:wordWrap/>
        <w:overflowPunct w:val="0"/>
        <w:topLinePunct w:val="0"/>
        <w:autoSpaceDE/>
        <w:autoSpaceDN/>
        <w:bidi w:val="0"/>
        <w:adjustRightInd w:val="0"/>
        <w:spacing w:line="560" w:lineRule="exact"/>
        <w:ind w:firstLine="640" w:firstLineChars="200"/>
        <w:jc w:val="both"/>
        <w:textAlignment w:val="auto"/>
        <w:rPr>
          <w:rFonts w:hint="eastAsia" w:ascii="楷体_GB2312" w:hAnsi="楷体_GB2312" w:eastAsia="楷体_GB2312" w:cs="楷体_GB2312"/>
          <w:b w:val="0"/>
          <w:bCs w:val="0"/>
          <w:szCs w:val="32"/>
          <w:lang w:val="en-US" w:eastAsia="zh-CN"/>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lang w:val="en-US" w:eastAsia="zh-CN"/>
        </w:rPr>
        <w:t>四</w:t>
      </w:r>
      <w:r>
        <w:rPr>
          <w:rFonts w:hint="eastAsia" w:ascii="楷体_GB2312" w:hAnsi="楷体_GB2312" w:eastAsia="楷体_GB2312" w:cs="楷体_GB2312"/>
          <w:b w:val="0"/>
          <w:bCs w:val="0"/>
          <w:szCs w:val="32"/>
          <w:lang w:eastAsia="zh-CN"/>
        </w:rPr>
        <w:t>）网络安全和信息化建设</w:t>
      </w:r>
      <w:r>
        <w:rPr>
          <w:rFonts w:hint="eastAsia" w:ascii="楷体_GB2312" w:hAnsi="楷体_GB2312" w:eastAsia="楷体_GB2312" w:cs="楷体_GB2312"/>
          <w:b w:val="0"/>
          <w:bCs w:val="0"/>
          <w:szCs w:val="32"/>
          <w:lang w:val="en-US" w:eastAsia="zh-CN"/>
        </w:rPr>
        <w:t>审计情况</w:t>
      </w:r>
    </w:p>
    <w:p>
      <w:pPr>
        <w:keepNext w:val="0"/>
        <w:keepLines w:val="0"/>
        <w:pageBreakBefore w:val="0"/>
        <w:kinsoku/>
        <w:wordWrap/>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pacing w:val="-6"/>
          <w:sz w:val="32"/>
          <w:szCs w:val="32"/>
          <w:highlight w:val="none"/>
          <w:u w:val="none"/>
          <w:lang w:val="en-US" w:eastAsia="zh-CN"/>
        </w:rPr>
        <w:t>一是政策落实和任务完成方面，</w:t>
      </w:r>
      <w:r>
        <w:rPr>
          <w:rFonts w:hint="eastAsia" w:ascii="仿宋_GB2312" w:hAnsi="仿宋_GB2312" w:eastAsia="仿宋_GB2312" w:cs="仿宋_GB2312"/>
          <w:b w:val="0"/>
          <w:bCs w:val="0"/>
          <w:kern w:val="2"/>
          <w:sz w:val="32"/>
          <w:szCs w:val="32"/>
          <w:lang w:val="en-US" w:eastAsia="zh-CN" w:bidi="ar-SA"/>
        </w:rPr>
        <w:t>存在森林防灭火基础设施建设任务未按时完成、莱山区一体化大数据平台县级节点建设不完备等问</w:t>
      </w:r>
      <w:r>
        <w:rPr>
          <w:rFonts w:hint="eastAsia" w:ascii="仿宋_GB2312" w:hAnsi="仿宋_GB2312" w:eastAsia="仿宋_GB2312" w:cs="仿宋_GB2312"/>
          <w:b w:val="0"/>
          <w:bCs w:val="0"/>
          <w:spacing w:val="-6"/>
          <w:sz w:val="32"/>
          <w:szCs w:val="32"/>
          <w:highlight w:val="none"/>
          <w:u w:val="none"/>
          <w:lang w:val="en-US" w:eastAsia="zh-CN"/>
        </w:rPr>
        <w:t>题。二是资金管理使用方面，存</w:t>
      </w:r>
      <w:r>
        <w:rPr>
          <w:rFonts w:hint="eastAsia" w:ascii="仿宋_GB2312" w:hAnsi="仿宋_GB2312" w:eastAsia="仿宋_GB2312" w:cs="仿宋_GB2312"/>
          <w:b w:val="0"/>
          <w:bCs w:val="0"/>
          <w:kern w:val="2"/>
          <w:sz w:val="32"/>
          <w:szCs w:val="32"/>
          <w:lang w:val="en-US" w:eastAsia="zh-CN" w:bidi="ar-SA"/>
        </w:rPr>
        <w:t>在项目建设奖补资金35万元未及时拨付的问题</w:t>
      </w:r>
      <w:r>
        <w:rPr>
          <w:rFonts w:hint="eastAsia" w:ascii="仿宋_GB2312" w:hAnsi="仿宋_GB2312" w:eastAsia="仿宋_GB2312" w:cs="仿宋_GB2312"/>
          <w:b w:val="0"/>
          <w:bCs w:val="0"/>
          <w:spacing w:val="-6"/>
          <w:sz w:val="32"/>
          <w:szCs w:val="32"/>
          <w:highlight w:val="none"/>
          <w:u w:val="none"/>
          <w:lang w:val="en-US" w:eastAsia="zh-CN"/>
        </w:rPr>
        <w:t>。三是项目建设管理方面，</w:t>
      </w:r>
      <w:r>
        <w:rPr>
          <w:rFonts w:hint="eastAsia" w:ascii="仿宋_GB2312" w:hAnsi="仿宋_GB2312" w:eastAsia="仿宋_GB2312" w:cs="仿宋_GB2312"/>
          <w:b w:val="0"/>
          <w:bCs w:val="0"/>
          <w:kern w:val="2"/>
          <w:sz w:val="32"/>
          <w:szCs w:val="32"/>
          <w:lang w:val="en-US" w:eastAsia="zh-CN" w:bidi="ar-SA"/>
        </w:rPr>
        <w:t>存在个别信息系统项目建设前未履行“三重一大”决策程序、开展前未按要求向政务信息化主管单位申报立项、个别信息平台闲置停用等问</w:t>
      </w:r>
      <w:r>
        <w:rPr>
          <w:rFonts w:hint="eastAsia" w:ascii="仿宋_GB2312" w:hAnsi="仿宋_GB2312" w:eastAsia="仿宋_GB2312" w:cs="仿宋_GB2312"/>
          <w:b w:val="0"/>
          <w:bCs w:val="0"/>
          <w:spacing w:val="-6"/>
          <w:sz w:val="32"/>
          <w:szCs w:val="32"/>
          <w:highlight w:val="none"/>
          <w:u w:val="none"/>
          <w:lang w:val="en-US" w:eastAsia="zh-CN"/>
        </w:rPr>
        <w:t>题。四是网络和数据安全制度执行方面，</w:t>
      </w:r>
      <w:r>
        <w:rPr>
          <w:rFonts w:hint="eastAsia" w:ascii="仿宋_GB2312" w:hAnsi="仿宋_GB2312" w:eastAsia="仿宋_GB2312" w:cs="仿宋_GB2312"/>
          <w:b w:val="0"/>
          <w:bCs w:val="0"/>
          <w:kern w:val="2"/>
          <w:sz w:val="32"/>
          <w:szCs w:val="32"/>
          <w:lang w:val="en-US" w:eastAsia="zh-CN" w:bidi="ar-SA"/>
        </w:rPr>
        <w:t xml:space="preserve">存在个别信息系统项目未按规定安排网络安全相关预算、未按要求部署在市政务云、未按规定进行等保定级且未报公安机关备案审查、政务数据处理活动存在安全风险、对信息系统运维承包单位的网络安全监管存在漏洞等问题。 </w:t>
      </w:r>
    </w:p>
    <w:p>
      <w:pPr>
        <w:pStyle w:val="9"/>
        <w:keepNext w:val="0"/>
        <w:keepLines w:val="0"/>
        <w:pageBreakBefore w:val="0"/>
        <w:kinsoku/>
        <w:wordWrap/>
        <w:topLinePunct w:val="0"/>
        <w:autoSpaceDE/>
        <w:autoSpaceDN/>
        <w:bidi w:val="0"/>
        <w:spacing w:line="560" w:lineRule="exact"/>
        <w:ind w:firstLine="640" w:firstLineChars="200"/>
        <w:jc w:val="both"/>
        <w:textAlignment w:val="auto"/>
        <w:rPr>
          <w:b w:val="0"/>
          <w:bCs w:val="0"/>
          <w:sz w:val="32"/>
        </w:rPr>
      </w:pPr>
      <w:r>
        <w:rPr>
          <w:rFonts w:hint="eastAsia" w:ascii="黑体" w:hAnsi="黑体" w:eastAsia="黑体" w:cs="Calibri"/>
          <w:b w:val="0"/>
          <w:bCs w:val="0"/>
          <w:color w:val="000000"/>
          <w:sz w:val="32"/>
          <w:szCs w:val="32"/>
          <w:lang w:val="en-US" w:eastAsia="zh-CN"/>
        </w:rPr>
        <w:t>二</w:t>
      </w:r>
      <w:r>
        <w:rPr>
          <w:rFonts w:hint="eastAsia" w:ascii="黑体" w:hAnsi="黑体" w:eastAsia="黑体" w:cs="Calibri"/>
          <w:b w:val="0"/>
          <w:bCs w:val="0"/>
          <w:color w:val="000000"/>
          <w:sz w:val="32"/>
          <w:szCs w:val="32"/>
        </w:rPr>
        <w:t>、审计建议</w:t>
      </w:r>
    </w:p>
    <w:p>
      <w:pPr>
        <w:pStyle w:val="9"/>
        <w:keepNext w:val="0"/>
        <w:keepLines w:val="0"/>
        <w:pageBreakBefore w:val="0"/>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eastAsia="楷体_GB2312"/>
          <w:b w:val="0"/>
          <w:bCs w:val="0"/>
          <w:sz w:val="32"/>
        </w:rPr>
        <w:t>（一）深化预算管理改革，加强财政资源统筹。</w:t>
      </w:r>
      <w:r>
        <w:rPr>
          <w:rFonts w:hint="eastAsia" w:ascii="仿宋_GB2312" w:hAnsi="仿宋_GB2312" w:eastAsia="仿宋_GB2312" w:cs="仿宋_GB2312"/>
          <w:b w:val="0"/>
          <w:bCs w:val="0"/>
          <w:kern w:val="2"/>
          <w:sz w:val="32"/>
          <w:szCs w:val="32"/>
          <w:lang w:val="en-US" w:eastAsia="zh-CN" w:bidi="ar-SA"/>
        </w:rPr>
        <w:t>进一步健全完善零基预算管理机制，合理确定支出预算规模；强化财政资源统筹，完善自有资金与预算安排统筹协调机制、结转结余资金收回使用机制，提高预算编制科学性；加强政府非税收入管理，实现应收尽收、应缴尽缴；牢固树立“过紧日子”思想，压减非急需非刚性支出。</w:t>
      </w:r>
    </w:p>
    <w:p>
      <w:pPr>
        <w:pStyle w:val="9"/>
        <w:keepNext w:val="0"/>
        <w:keepLines w:val="0"/>
        <w:pageBreakBefore w:val="0"/>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eastAsia="楷体_GB2312"/>
          <w:b w:val="0"/>
          <w:bCs w:val="0"/>
          <w:sz w:val="32"/>
        </w:rPr>
        <w:t>（二）强化重点领域监管，推动重大政策落地。</w:t>
      </w:r>
      <w:r>
        <w:rPr>
          <w:rFonts w:hint="eastAsia" w:ascii="仿宋_GB2312" w:hAnsi="仿宋_GB2312" w:eastAsia="仿宋_GB2312" w:cs="仿宋_GB2312"/>
          <w:b w:val="0"/>
          <w:bCs w:val="0"/>
          <w:kern w:val="2"/>
          <w:sz w:val="32"/>
          <w:szCs w:val="32"/>
          <w:lang w:val="en-US" w:eastAsia="zh-CN" w:bidi="ar-SA"/>
        </w:rPr>
        <w:t>聚焦保障和改善民生，强化资金筹集、分配和使用全过程监管，助力推动资金到位、项目落地、改革见效。强化“四本预算”衔接，统筹新增专项债资金、特别国债资金和财政专项资金，坚持有保有压有调整，加力保障重点支出和改善民生，确保把有限的资金用在发展紧要处。</w:t>
      </w:r>
    </w:p>
    <w:p>
      <w:pPr>
        <w:pStyle w:val="9"/>
        <w:keepNext w:val="0"/>
        <w:keepLines w:val="0"/>
        <w:pageBreakBefore w:val="0"/>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eastAsia="楷体_GB2312"/>
          <w:b w:val="0"/>
          <w:bCs w:val="0"/>
          <w:sz w:val="32"/>
        </w:rPr>
        <w:t>（三）加</w:t>
      </w:r>
      <w:r>
        <w:rPr>
          <w:rFonts w:hint="eastAsia" w:ascii="楷体_GB2312" w:eastAsia="楷体_GB2312"/>
          <w:b w:val="0"/>
          <w:bCs w:val="0"/>
          <w:sz w:val="32"/>
          <w:lang w:val="en-US" w:eastAsia="zh-CN"/>
        </w:rPr>
        <w:t>强</w:t>
      </w:r>
      <w:r>
        <w:rPr>
          <w:rFonts w:hint="eastAsia" w:ascii="楷体_GB2312" w:eastAsia="楷体_GB2312"/>
          <w:b w:val="0"/>
          <w:bCs w:val="0"/>
          <w:sz w:val="32"/>
        </w:rPr>
        <w:t>资源资产管理，防范化解重大风险。</w:t>
      </w:r>
      <w:r>
        <w:rPr>
          <w:rFonts w:hint="eastAsia" w:ascii="仿宋_GB2312" w:hAnsi="仿宋_GB2312" w:eastAsia="仿宋_GB2312" w:cs="仿宋_GB2312"/>
          <w:b w:val="0"/>
          <w:bCs w:val="0"/>
          <w:kern w:val="2"/>
          <w:sz w:val="32"/>
          <w:szCs w:val="32"/>
          <w:lang w:val="en-US" w:eastAsia="zh-CN" w:bidi="ar-SA"/>
        </w:rPr>
        <w:t xml:space="preserve">强化债券“借、用、管、还”全生命周期管理，持续加力重点项目建设，推动尽快形成实物工作量。夯实行政事业单位资产管理基础，规范国有资产出租出借行为，优化整合和分类盘活存量、低效资产，保障国有资产的安全完整和高效利用。 </w:t>
      </w:r>
    </w:p>
    <w:p>
      <w:pPr>
        <w:keepNext w:val="0"/>
        <w:keepLines w:val="0"/>
        <w:pageBreakBefore w:val="0"/>
        <w:widowControl/>
        <w:kinsoku/>
        <w:wordWrap/>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bookmarkStart w:id="0" w:name="_GoBack"/>
      <w:bookmarkEnd w:id="0"/>
    </w:p>
    <w:sectPr>
      <w:footerReference r:id="rId3" w:type="default"/>
      <w:pgSz w:w="11906" w:h="16838"/>
      <w:pgMar w:top="2098" w:right="1531" w:bottom="1985" w:left="1531"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Gulim">
    <w:altName w:val="Malgun Gothic"/>
    <w:panose1 w:val="020B0600000101010101"/>
    <w:charset w:val="81"/>
    <w:family w:val="swiss"/>
    <w:pitch w:val="default"/>
    <w:sig w:usb0="00000000" w:usb1="00000000" w:usb2="00000030" w:usb3="00000000" w:csb0="4008009F" w:csb1="DFD7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- 8 -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- 8 -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89BA6"/>
    <w:multiLevelType w:val="singleLevel"/>
    <w:tmpl w:val="6E089B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F4D"/>
    <w:rsid w:val="0000036A"/>
    <w:rsid w:val="0001783B"/>
    <w:rsid w:val="00024635"/>
    <w:rsid w:val="000A2CEA"/>
    <w:rsid w:val="0010036B"/>
    <w:rsid w:val="001446E2"/>
    <w:rsid w:val="00172AC5"/>
    <w:rsid w:val="001E5C5F"/>
    <w:rsid w:val="0024463D"/>
    <w:rsid w:val="00263FC1"/>
    <w:rsid w:val="00285A1B"/>
    <w:rsid w:val="002C4A98"/>
    <w:rsid w:val="003170B4"/>
    <w:rsid w:val="0034125C"/>
    <w:rsid w:val="003640B8"/>
    <w:rsid w:val="003858F3"/>
    <w:rsid w:val="00387065"/>
    <w:rsid w:val="003A257D"/>
    <w:rsid w:val="003A6AD2"/>
    <w:rsid w:val="003E4577"/>
    <w:rsid w:val="0040095D"/>
    <w:rsid w:val="00407E07"/>
    <w:rsid w:val="0043260E"/>
    <w:rsid w:val="00482FA0"/>
    <w:rsid w:val="004967B0"/>
    <w:rsid w:val="0050555D"/>
    <w:rsid w:val="005F1E1B"/>
    <w:rsid w:val="00637B95"/>
    <w:rsid w:val="006605B3"/>
    <w:rsid w:val="00694479"/>
    <w:rsid w:val="006C3216"/>
    <w:rsid w:val="007326F8"/>
    <w:rsid w:val="007D7895"/>
    <w:rsid w:val="00807FB5"/>
    <w:rsid w:val="00894295"/>
    <w:rsid w:val="008B5111"/>
    <w:rsid w:val="008B53FE"/>
    <w:rsid w:val="009123A8"/>
    <w:rsid w:val="00A67BEA"/>
    <w:rsid w:val="00AF2F4D"/>
    <w:rsid w:val="00AF3812"/>
    <w:rsid w:val="00B514F9"/>
    <w:rsid w:val="00BD4672"/>
    <w:rsid w:val="00C83466"/>
    <w:rsid w:val="00D107B0"/>
    <w:rsid w:val="00D65CF5"/>
    <w:rsid w:val="00DE14F5"/>
    <w:rsid w:val="00E51DFD"/>
    <w:rsid w:val="00EB6DA1"/>
    <w:rsid w:val="01D94F0A"/>
    <w:rsid w:val="055F41FD"/>
    <w:rsid w:val="05767741"/>
    <w:rsid w:val="0596792C"/>
    <w:rsid w:val="063714FA"/>
    <w:rsid w:val="06421ACB"/>
    <w:rsid w:val="065E1320"/>
    <w:rsid w:val="06D2764C"/>
    <w:rsid w:val="072B6882"/>
    <w:rsid w:val="07764DF6"/>
    <w:rsid w:val="083F3863"/>
    <w:rsid w:val="08D32E02"/>
    <w:rsid w:val="09105874"/>
    <w:rsid w:val="093B290E"/>
    <w:rsid w:val="0A4A3077"/>
    <w:rsid w:val="0BE2407A"/>
    <w:rsid w:val="0C1A376C"/>
    <w:rsid w:val="0C1B59FD"/>
    <w:rsid w:val="0CB665DC"/>
    <w:rsid w:val="0D7D4133"/>
    <w:rsid w:val="0E733655"/>
    <w:rsid w:val="0F085F8F"/>
    <w:rsid w:val="0F672B67"/>
    <w:rsid w:val="0FEC71BE"/>
    <w:rsid w:val="1072769E"/>
    <w:rsid w:val="124F6166"/>
    <w:rsid w:val="13265FDA"/>
    <w:rsid w:val="136E22BE"/>
    <w:rsid w:val="1481719B"/>
    <w:rsid w:val="17121564"/>
    <w:rsid w:val="18293EE0"/>
    <w:rsid w:val="186B23EB"/>
    <w:rsid w:val="1928396E"/>
    <w:rsid w:val="19731E23"/>
    <w:rsid w:val="19DE6C6C"/>
    <w:rsid w:val="1ACB3EC2"/>
    <w:rsid w:val="1AD56ADC"/>
    <w:rsid w:val="1B980134"/>
    <w:rsid w:val="1BD51DF0"/>
    <w:rsid w:val="1C194249"/>
    <w:rsid w:val="1C734C28"/>
    <w:rsid w:val="1D000D55"/>
    <w:rsid w:val="1D5C17FF"/>
    <w:rsid w:val="1D74674B"/>
    <w:rsid w:val="1FF1129D"/>
    <w:rsid w:val="207D78C1"/>
    <w:rsid w:val="22DD3440"/>
    <w:rsid w:val="23B83BFD"/>
    <w:rsid w:val="24584399"/>
    <w:rsid w:val="248053AC"/>
    <w:rsid w:val="252A2B08"/>
    <w:rsid w:val="261925E5"/>
    <w:rsid w:val="265700F2"/>
    <w:rsid w:val="26822367"/>
    <w:rsid w:val="26915A31"/>
    <w:rsid w:val="270C2FCF"/>
    <w:rsid w:val="27635D03"/>
    <w:rsid w:val="27706983"/>
    <w:rsid w:val="28B128E3"/>
    <w:rsid w:val="28C12B5E"/>
    <w:rsid w:val="29212D48"/>
    <w:rsid w:val="29F83E9E"/>
    <w:rsid w:val="2A45376E"/>
    <w:rsid w:val="2A50069F"/>
    <w:rsid w:val="2B244D88"/>
    <w:rsid w:val="2B9B7356"/>
    <w:rsid w:val="2BA95551"/>
    <w:rsid w:val="2BF8252E"/>
    <w:rsid w:val="2DC065FF"/>
    <w:rsid w:val="2DC375EA"/>
    <w:rsid w:val="2DDC6834"/>
    <w:rsid w:val="2DDC69B5"/>
    <w:rsid w:val="2E657051"/>
    <w:rsid w:val="2F3E621B"/>
    <w:rsid w:val="2F675BDA"/>
    <w:rsid w:val="30A71C22"/>
    <w:rsid w:val="314002AB"/>
    <w:rsid w:val="318812EE"/>
    <w:rsid w:val="32A63AEC"/>
    <w:rsid w:val="349A09A3"/>
    <w:rsid w:val="34E47F59"/>
    <w:rsid w:val="35575166"/>
    <w:rsid w:val="356144A8"/>
    <w:rsid w:val="36B64833"/>
    <w:rsid w:val="3764056D"/>
    <w:rsid w:val="37C466FA"/>
    <w:rsid w:val="3821542B"/>
    <w:rsid w:val="38460FE2"/>
    <w:rsid w:val="395F6B34"/>
    <w:rsid w:val="3A1C05B6"/>
    <w:rsid w:val="3A7958F5"/>
    <w:rsid w:val="3BE53866"/>
    <w:rsid w:val="3C9D18B3"/>
    <w:rsid w:val="3D394C77"/>
    <w:rsid w:val="3D552CF6"/>
    <w:rsid w:val="3D5762B0"/>
    <w:rsid w:val="3DE51D52"/>
    <w:rsid w:val="3E755984"/>
    <w:rsid w:val="402C7BD0"/>
    <w:rsid w:val="423553BA"/>
    <w:rsid w:val="42403571"/>
    <w:rsid w:val="42687272"/>
    <w:rsid w:val="42F548E1"/>
    <w:rsid w:val="43471398"/>
    <w:rsid w:val="44965A7D"/>
    <w:rsid w:val="455D60E7"/>
    <w:rsid w:val="48465045"/>
    <w:rsid w:val="492C13D0"/>
    <w:rsid w:val="4AE8144F"/>
    <w:rsid w:val="4B3F5CC5"/>
    <w:rsid w:val="4B5207EC"/>
    <w:rsid w:val="4C283E4D"/>
    <w:rsid w:val="4C7C1127"/>
    <w:rsid w:val="4D9E745A"/>
    <w:rsid w:val="4E5E1A3D"/>
    <w:rsid w:val="4FBA7ECF"/>
    <w:rsid w:val="4FF176AA"/>
    <w:rsid w:val="508B402B"/>
    <w:rsid w:val="510A43EC"/>
    <w:rsid w:val="514F58FC"/>
    <w:rsid w:val="51CD40F8"/>
    <w:rsid w:val="52F821E7"/>
    <w:rsid w:val="53726AA8"/>
    <w:rsid w:val="537751ED"/>
    <w:rsid w:val="53831510"/>
    <w:rsid w:val="54852C16"/>
    <w:rsid w:val="551A2EE6"/>
    <w:rsid w:val="56847CD9"/>
    <w:rsid w:val="57776F92"/>
    <w:rsid w:val="58E12236"/>
    <w:rsid w:val="591D7A58"/>
    <w:rsid w:val="59FE046C"/>
    <w:rsid w:val="5B603B5F"/>
    <w:rsid w:val="5BEE4D1B"/>
    <w:rsid w:val="5C011D88"/>
    <w:rsid w:val="5C121741"/>
    <w:rsid w:val="5C27484F"/>
    <w:rsid w:val="5C75767D"/>
    <w:rsid w:val="5D1217D3"/>
    <w:rsid w:val="5D196E9C"/>
    <w:rsid w:val="5E6C2A95"/>
    <w:rsid w:val="5E9A413C"/>
    <w:rsid w:val="5ED20476"/>
    <w:rsid w:val="612A2CBD"/>
    <w:rsid w:val="614C76CC"/>
    <w:rsid w:val="62351287"/>
    <w:rsid w:val="62405EF6"/>
    <w:rsid w:val="63182FBB"/>
    <w:rsid w:val="63975B4D"/>
    <w:rsid w:val="63BA45EF"/>
    <w:rsid w:val="64225FA3"/>
    <w:rsid w:val="66073537"/>
    <w:rsid w:val="669169F5"/>
    <w:rsid w:val="67EB24D3"/>
    <w:rsid w:val="67F41895"/>
    <w:rsid w:val="6A591516"/>
    <w:rsid w:val="6B091C2C"/>
    <w:rsid w:val="6B6918D3"/>
    <w:rsid w:val="6B9F0142"/>
    <w:rsid w:val="6BC67767"/>
    <w:rsid w:val="6E1B776F"/>
    <w:rsid w:val="702C41B2"/>
    <w:rsid w:val="71344BCB"/>
    <w:rsid w:val="72543853"/>
    <w:rsid w:val="732B4A73"/>
    <w:rsid w:val="73C12DA5"/>
    <w:rsid w:val="74DA4333"/>
    <w:rsid w:val="757A5961"/>
    <w:rsid w:val="76041CBC"/>
    <w:rsid w:val="7665450F"/>
    <w:rsid w:val="76716D78"/>
    <w:rsid w:val="767B70C8"/>
    <w:rsid w:val="776267A4"/>
    <w:rsid w:val="779975EF"/>
    <w:rsid w:val="77ED54E0"/>
    <w:rsid w:val="78B0141D"/>
    <w:rsid w:val="796A2747"/>
    <w:rsid w:val="79AB4912"/>
    <w:rsid w:val="7BC96677"/>
    <w:rsid w:val="7BDA1FE6"/>
    <w:rsid w:val="7C0A5188"/>
    <w:rsid w:val="7DE83AC2"/>
    <w:rsid w:val="7E6005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无间隔1"/>
    <w:qFormat/>
    <w:uiPriority w:val="0"/>
    <w:pPr>
      <w:widowControl w:val="0"/>
      <w:jc w:val="center"/>
    </w:pPr>
    <w:rPr>
      <w:rFonts w:ascii="Times New Roman" w:hAnsi="Times New Roman" w:eastAsia="仿宋" w:cs="Times New Roman"/>
      <w:kern w:val="2"/>
      <w:sz w:val="24"/>
      <w:szCs w:val="22"/>
      <w:lang w:val="en-US" w:eastAsia="zh-CN" w:bidi="ar-SA"/>
    </w:rPr>
  </w:style>
  <w:style w:type="paragraph" w:styleId="3">
    <w:name w:val="Body Text"/>
    <w:basedOn w:val="1"/>
    <w:next w:val="1"/>
    <w:qFormat/>
    <w:uiPriority w:val="0"/>
    <w:pPr>
      <w:spacing w:after="120"/>
    </w:pPr>
  </w:style>
  <w:style w:type="paragraph" w:styleId="4">
    <w:name w:val="Body Text Indent"/>
    <w:basedOn w:val="1"/>
    <w:next w:val="5"/>
    <w:qFormat/>
    <w:uiPriority w:val="0"/>
    <w:pPr>
      <w:ind w:firstLine="533" w:firstLineChars="166"/>
    </w:pPr>
    <w:rPr>
      <w:rFonts w:ascii="仿宋_GB2312" w:hAnsi="宋体"/>
      <w:b/>
      <w:bCs/>
    </w:rPr>
  </w:style>
  <w:style w:type="paragraph" w:styleId="5">
    <w:name w:val="Body Text First Indent 2"/>
    <w:basedOn w:val="4"/>
    <w:next w:val="1"/>
    <w:qFormat/>
    <w:uiPriority w:val="0"/>
    <w:pPr>
      <w:ind w:firstLine="420" w:firstLineChars="200"/>
    </w:p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5"/>
    <w:link w:val="13"/>
    <w:semiHidden/>
    <w:unhideWhenUsed/>
    <w:qFormat/>
    <w:uiPriority w:val="99"/>
    <w:pPr>
      <w:snapToGrid w:val="0"/>
      <w:jc w:val="left"/>
    </w:pPr>
    <w:rPr>
      <w:sz w:val="18"/>
      <w:szCs w:val="18"/>
    </w:rPr>
  </w:style>
  <w:style w:type="paragraph" w:styleId="9">
    <w:name w:val="Normal (Web)"/>
    <w:basedOn w:val="1"/>
    <w:unhideWhenUsed/>
    <w:qFormat/>
    <w:uiPriority w:val="99"/>
    <w:rPr>
      <w:sz w:val="24"/>
    </w:rPr>
  </w:style>
  <w:style w:type="character" w:styleId="12">
    <w:name w:val="Strong"/>
    <w:basedOn w:val="11"/>
    <w:qFormat/>
    <w:uiPriority w:val="22"/>
    <w:rPr>
      <w:b/>
      <w:bCs/>
    </w:rPr>
  </w:style>
  <w:style w:type="character" w:customStyle="1" w:styleId="13">
    <w:name w:val="脚注文本 字符"/>
    <w:basedOn w:val="11"/>
    <w:link w:val="8"/>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380</Words>
  <Characters>2172</Characters>
  <Lines>18</Lines>
  <Paragraphs>5</Paragraphs>
  <TotalTime>8</TotalTime>
  <ScaleCrop>false</ScaleCrop>
  <LinksUpToDate>false</LinksUpToDate>
  <CharactersWithSpaces>2547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2023-07-29T01:09:00Z</dcterms:created>
  <dc:creator>fuxiao</dc:creator>
  <cp:lastModifiedBy>moon</cp:lastModifiedBy>
  <cp:lastPrinted>2024-08-05T01:54:00Z</cp:lastPrinted>
  <dcterms:modified xsi:type="dcterms:W3CDTF">2024-10-14T08:24:29Z</dcterms:modified>
  <dc:title>烟台市莱山区</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6BE1F199DB684768B45450BEFC3130BB</vt:lpwstr>
  </property>
</Properties>
</file>