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EB56F">
      <w:pPr>
        <w:pStyle w:val="2"/>
        <w:keepNext w:val="0"/>
        <w:keepLines w:val="0"/>
        <w:pageBreakBefore w:val="0"/>
        <w:widowControl/>
        <w:kinsoku/>
        <w:wordWrap/>
        <w:overflowPunct/>
        <w:topLinePunct w:val="0"/>
        <w:autoSpaceDE w:val="0"/>
        <w:autoSpaceDN w:val="0"/>
        <w:bidi w:val="0"/>
        <w:adjustRightInd w:val="0"/>
        <w:snapToGrid w:val="0"/>
        <w:spacing w:line="245" w:lineRule="auto"/>
        <w:jc w:val="both"/>
        <w:textAlignment w:val="baseline"/>
      </w:pPr>
    </w:p>
    <w:p w14:paraId="0DE99511">
      <w:pPr>
        <w:pStyle w:val="2"/>
        <w:keepNext w:val="0"/>
        <w:keepLines w:val="0"/>
        <w:pageBreakBefore w:val="0"/>
        <w:widowControl/>
        <w:kinsoku/>
        <w:wordWrap/>
        <w:overflowPunct/>
        <w:topLinePunct w:val="0"/>
        <w:autoSpaceDE w:val="0"/>
        <w:autoSpaceDN w:val="0"/>
        <w:bidi w:val="0"/>
        <w:adjustRightInd w:val="0"/>
        <w:snapToGrid w:val="0"/>
        <w:spacing w:line="245" w:lineRule="auto"/>
        <w:jc w:val="both"/>
        <w:textAlignment w:val="baseline"/>
      </w:pPr>
    </w:p>
    <w:p w14:paraId="0F641FB7">
      <w:pPr>
        <w:pStyle w:val="2"/>
        <w:keepNext w:val="0"/>
        <w:keepLines w:val="0"/>
        <w:pageBreakBefore w:val="0"/>
        <w:widowControl/>
        <w:kinsoku/>
        <w:wordWrap/>
        <w:overflowPunct/>
        <w:topLinePunct w:val="0"/>
        <w:autoSpaceDE w:val="0"/>
        <w:autoSpaceDN w:val="0"/>
        <w:bidi w:val="0"/>
        <w:adjustRightInd w:val="0"/>
        <w:snapToGrid w:val="0"/>
        <w:spacing w:line="245" w:lineRule="auto"/>
        <w:jc w:val="both"/>
        <w:textAlignment w:val="baseline"/>
      </w:pPr>
    </w:p>
    <w:p w14:paraId="4D45B3BA">
      <w:pPr>
        <w:pStyle w:val="2"/>
        <w:keepNext w:val="0"/>
        <w:keepLines w:val="0"/>
        <w:pageBreakBefore w:val="0"/>
        <w:widowControl/>
        <w:kinsoku/>
        <w:wordWrap/>
        <w:overflowPunct/>
        <w:topLinePunct w:val="0"/>
        <w:autoSpaceDE w:val="0"/>
        <w:autoSpaceDN w:val="0"/>
        <w:bidi w:val="0"/>
        <w:adjustRightInd w:val="0"/>
        <w:snapToGrid w:val="0"/>
        <w:spacing w:line="245" w:lineRule="auto"/>
        <w:jc w:val="both"/>
        <w:textAlignment w:val="baseline"/>
      </w:pPr>
    </w:p>
    <w:p w14:paraId="68214ED1">
      <w:pPr>
        <w:pStyle w:val="2"/>
        <w:keepNext w:val="0"/>
        <w:keepLines w:val="0"/>
        <w:pageBreakBefore w:val="0"/>
        <w:widowControl/>
        <w:kinsoku/>
        <w:wordWrap/>
        <w:overflowPunct/>
        <w:topLinePunct w:val="0"/>
        <w:autoSpaceDE w:val="0"/>
        <w:autoSpaceDN w:val="0"/>
        <w:bidi w:val="0"/>
        <w:adjustRightInd w:val="0"/>
        <w:snapToGrid w:val="0"/>
        <w:spacing w:line="245" w:lineRule="auto"/>
        <w:jc w:val="both"/>
        <w:textAlignment w:val="baseline"/>
      </w:pPr>
    </w:p>
    <w:p w14:paraId="148D1561">
      <w:pPr>
        <w:pStyle w:val="2"/>
        <w:keepNext w:val="0"/>
        <w:keepLines w:val="0"/>
        <w:pageBreakBefore w:val="0"/>
        <w:widowControl/>
        <w:kinsoku/>
        <w:wordWrap/>
        <w:overflowPunct/>
        <w:topLinePunct w:val="0"/>
        <w:autoSpaceDE w:val="0"/>
        <w:autoSpaceDN w:val="0"/>
        <w:bidi w:val="0"/>
        <w:adjustRightInd w:val="0"/>
        <w:snapToGrid w:val="0"/>
        <w:spacing w:line="246" w:lineRule="auto"/>
        <w:jc w:val="both"/>
        <w:textAlignment w:val="baseline"/>
      </w:pPr>
    </w:p>
    <w:p w14:paraId="386B9261">
      <w:pPr>
        <w:pStyle w:val="2"/>
        <w:keepNext w:val="0"/>
        <w:keepLines w:val="0"/>
        <w:pageBreakBefore w:val="0"/>
        <w:widowControl/>
        <w:kinsoku/>
        <w:wordWrap/>
        <w:overflowPunct/>
        <w:topLinePunct w:val="0"/>
        <w:autoSpaceDE w:val="0"/>
        <w:autoSpaceDN w:val="0"/>
        <w:bidi w:val="0"/>
        <w:adjustRightInd w:val="0"/>
        <w:snapToGrid w:val="0"/>
        <w:spacing w:line="246" w:lineRule="auto"/>
        <w:jc w:val="both"/>
        <w:textAlignment w:val="baseline"/>
      </w:pPr>
    </w:p>
    <w:p w14:paraId="4D1BE1CE">
      <w:pPr>
        <w:pStyle w:val="2"/>
        <w:keepNext w:val="0"/>
        <w:keepLines w:val="0"/>
        <w:pageBreakBefore w:val="0"/>
        <w:widowControl/>
        <w:kinsoku/>
        <w:wordWrap/>
        <w:overflowPunct/>
        <w:topLinePunct w:val="0"/>
        <w:autoSpaceDE w:val="0"/>
        <w:autoSpaceDN w:val="0"/>
        <w:bidi w:val="0"/>
        <w:adjustRightInd w:val="0"/>
        <w:snapToGrid w:val="0"/>
        <w:spacing w:line="246" w:lineRule="auto"/>
        <w:jc w:val="both"/>
        <w:textAlignment w:val="baseline"/>
      </w:pPr>
    </w:p>
    <w:p w14:paraId="3DE5F821">
      <w:pPr>
        <w:pStyle w:val="2"/>
        <w:keepNext w:val="0"/>
        <w:keepLines w:val="0"/>
        <w:pageBreakBefore w:val="0"/>
        <w:widowControl/>
        <w:kinsoku/>
        <w:wordWrap/>
        <w:overflowPunct/>
        <w:topLinePunct w:val="0"/>
        <w:autoSpaceDE w:val="0"/>
        <w:autoSpaceDN w:val="0"/>
        <w:bidi w:val="0"/>
        <w:adjustRightInd w:val="0"/>
        <w:snapToGrid w:val="0"/>
        <w:spacing w:line="246" w:lineRule="auto"/>
        <w:jc w:val="both"/>
        <w:textAlignment w:val="baseline"/>
      </w:pPr>
    </w:p>
    <w:p w14:paraId="392B0CA4">
      <w:pPr>
        <w:pStyle w:val="2"/>
        <w:keepNext w:val="0"/>
        <w:keepLines w:val="0"/>
        <w:pageBreakBefore w:val="0"/>
        <w:widowControl/>
        <w:kinsoku/>
        <w:wordWrap/>
        <w:overflowPunct/>
        <w:topLinePunct w:val="0"/>
        <w:autoSpaceDE w:val="0"/>
        <w:autoSpaceDN w:val="0"/>
        <w:bidi w:val="0"/>
        <w:adjustRightInd w:val="0"/>
        <w:snapToGrid w:val="0"/>
        <w:spacing w:line="246" w:lineRule="auto"/>
        <w:jc w:val="both"/>
        <w:textAlignment w:val="baseline"/>
      </w:pPr>
    </w:p>
    <w:p w14:paraId="1976BBCB">
      <w:pPr>
        <w:pStyle w:val="2"/>
        <w:keepNext w:val="0"/>
        <w:keepLines w:val="0"/>
        <w:pageBreakBefore w:val="0"/>
        <w:widowControl/>
        <w:kinsoku/>
        <w:wordWrap/>
        <w:overflowPunct/>
        <w:topLinePunct w:val="0"/>
        <w:autoSpaceDE w:val="0"/>
        <w:autoSpaceDN w:val="0"/>
        <w:bidi w:val="0"/>
        <w:adjustRightInd w:val="0"/>
        <w:snapToGrid w:val="0"/>
        <w:spacing w:line="246" w:lineRule="auto"/>
        <w:jc w:val="both"/>
        <w:textAlignment w:val="baseline"/>
      </w:pPr>
    </w:p>
    <w:p w14:paraId="12ADE6B9">
      <w:pPr>
        <w:pStyle w:val="2"/>
        <w:keepNext w:val="0"/>
        <w:keepLines w:val="0"/>
        <w:pageBreakBefore w:val="0"/>
        <w:widowControl/>
        <w:kinsoku/>
        <w:wordWrap/>
        <w:overflowPunct/>
        <w:topLinePunct w:val="0"/>
        <w:autoSpaceDE w:val="0"/>
        <w:autoSpaceDN w:val="0"/>
        <w:bidi w:val="0"/>
        <w:adjustRightInd w:val="0"/>
        <w:snapToGrid w:val="0"/>
        <w:spacing w:line="246" w:lineRule="auto"/>
        <w:jc w:val="both"/>
        <w:textAlignment w:val="baseline"/>
      </w:pPr>
    </w:p>
    <w:p w14:paraId="2BC6AF23">
      <w:pPr>
        <w:pStyle w:val="2"/>
        <w:keepNext w:val="0"/>
        <w:keepLines w:val="0"/>
        <w:pageBreakBefore w:val="0"/>
        <w:widowControl/>
        <w:kinsoku/>
        <w:wordWrap/>
        <w:overflowPunct/>
        <w:topLinePunct w:val="0"/>
        <w:autoSpaceDE w:val="0"/>
        <w:autoSpaceDN w:val="0"/>
        <w:bidi w:val="0"/>
        <w:adjustRightInd w:val="0"/>
        <w:snapToGrid w:val="0"/>
        <w:spacing w:line="246" w:lineRule="auto"/>
        <w:jc w:val="both"/>
        <w:textAlignment w:val="baseline"/>
      </w:pPr>
    </w:p>
    <w:p w14:paraId="22E6D490">
      <w:pPr>
        <w:keepNext w:val="0"/>
        <w:keepLines w:val="0"/>
        <w:pageBreakBefore w:val="0"/>
        <w:widowControl/>
        <w:kinsoku/>
        <w:wordWrap/>
        <w:overflowPunct/>
        <w:topLinePunct w:val="0"/>
        <w:autoSpaceDE w:val="0"/>
        <w:autoSpaceDN w:val="0"/>
        <w:bidi w:val="0"/>
        <w:adjustRightInd w:val="0"/>
        <w:snapToGrid w:val="0"/>
        <w:spacing w:before="270" w:line="228" w:lineRule="auto"/>
        <w:ind w:right="216"/>
        <w:jc w:val="center"/>
        <w:textAlignment w:val="baseline"/>
        <w:rPr>
          <w:rFonts w:ascii="方正小标宋简体" w:hAnsi="方正小标宋简体" w:eastAsia="方正小标宋简体" w:cs="方正小标宋简体"/>
          <w:spacing w:val="6"/>
          <w:sz w:val="71"/>
          <w:szCs w:val="71"/>
        </w:rPr>
      </w:pPr>
      <w:r>
        <w:rPr>
          <w:rFonts w:ascii="方正小标宋简体" w:hAnsi="方正小标宋简体" w:eastAsia="方正小标宋简体" w:cs="方正小标宋简体"/>
          <w:spacing w:val="6"/>
          <w:sz w:val="71"/>
          <w:szCs w:val="71"/>
        </w:rPr>
        <w:t>烟台市</w:t>
      </w:r>
      <w:r>
        <w:rPr>
          <w:rFonts w:hint="eastAsia" w:ascii="方正小标宋简体" w:hAnsi="方正小标宋简体" w:eastAsia="方正小标宋简体" w:cs="方正小标宋简体"/>
          <w:spacing w:val="6"/>
          <w:sz w:val="71"/>
          <w:szCs w:val="71"/>
          <w:lang w:eastAsia="zh-CN"/>
        </w:rPr>
        <w:t>莱山区</w:t>
      </w:r>
      <w:r>
        <w:rPr>
          <w:rFonts w:ascii="方正小标宋简体" w:hAnsi="方正小标宋简体" w:eastAsia="方正小标宋简体" w:cs="方正小标宋简体"/>
          <w:spacing w:val="6"/>
          <w:sz w:val="71"/>
          <w:szCs w:val="71"/>
        </w:rPr>
        <w:t>知识产权</w:t>
      </w:r>
    </w:p>
    <w:p w14:paraId="02BB49A3">
      <w:pPr>
        <w:keepNext w:val="0"/>
        <w:keepLines w:val="0"/>
        <w:pageBreakBefore w:val="0"/>
        <w:widowControl/>
        <w:kinsoku/>
        <w:wordWrap/>
        <w:overflowPunct/>
        <w:topLinePunct w:val="0"/>
        <w:autoSpaceDE w:val="0"/>
        <w:autoSpaceDN w:val="0"/>
        <w:bidi w:val="0"/>
        <w:adjustRightInd w:val="0"/>
        <w:snapToGrid w:val="0"/>
        <w:spacing w:before="270" w:line="228" w:lineRule="auto"/>
        <w:ind w:right="216"/>
        <w:jc w:val="center"/>
        <w:textAlignment w:val="baseline"/>
        <w:rPr>
          <w:rFonts w:ascii="方正小标宋简体" w:hAnsi="方正小标宋简体" w:eastAsia="方正小标宋简体" w:cs="方正小标宋简体"/>
          <w:sz w:val="71"/>
          <w:szCs w:val="71"/>
        </w:rPr>
      </w:pPr>
      <w:r>
        <w:rPr>
          <w:rFonts w:ascii="方正小标宋简体" w:hAnsi="方正小标宋简体" w:eastAsia="方正小标宋简体" w:cs="方正小标宋简体"/>
          <w:spacing w:val="6"/>
          <w:sz w:val="71"/>
          <w:szCs w:val="71"/>
        </w:rPr>
        <w:t>公共服务</w:t>
      </w:r>
      <w:r>
        <w:rPr>
          <w:rFonts w:ascii="方正小标宋简体" w:hAnsi="方正小标宋简体" w:eastAsia="方正小标宋简体" w:cs="方正小标宋简体"/>
          <w:spacing w:val="4"/>
          <w:sz w:val="71"/>
          <w:szCs w:val="71"/>
        </w:rPr>
        <w:t>事项办事指南</w:t>
      </w:r>
    </w:p>
    <w:p w14:paraId="2E90D8F6">
      <w:pPr>
        <w:pStyle w:val="2"/>
        <w:keepNext w:val="0"/>
        <w:keepLines w:val="0"/>
        <w:pageBreakBefore w:val="0"/>
        <w:widowControl/>
        <w:kinsoku/>
        <w:wordWrap/>
        <w:overflowPunct/>
        <w:topLinePunct w:val="0"/>
        <w:autoSpaceDE w:val="0"/>
        <w:autoSpaceDN w:val="0"/>
        <w:bidi w:val="0"/>
        <w:adjustRightInd w:val="0"/>
        <w:snapToGrid w:val="0"/>
        <w:spacing w:line="262" w:lineRule="auto"/>
        <w:jc w:val="both"/>
        <w:textAlignment w:val="baseline"/>
      </w:pPr>
    </w:p>
    <w:p w14:paraId="113CD753">
      <w:pPr>
        <w:pStyle w:val="2"/>
        <w:keepNext w:val="0"/>
        <w:keepLines w:val="0"/>
        <w:pageBreakBefore w:val="0"/>
        <w:widowControl/>
        <w:kinsoku/>
        <w:wordWrap/>
        <w:overflowPunct/>
        <w:topLinePunct w:val="0"/>
        <w:autoSpaceDE w:val="0"/>
        <w:autoSpaceDN w:val="0"/>
        <w:bidi w:val="0"/>
        <w:adjustRightInd w:val="0"/>
        <w:snapToGrid w:val="0"/>
        <w:spacing w:line="263" w:lineRule="auto"/>
        <w:jc w:val="both"/>
        <w:textAlignment w:val="baseline"/>
      </w:pPr>
    </w:p>
    <w:p w14:paraId="64A95457">
      <w:pPr>
        <w:pStyle w:val="2"/>
        <w:keepNext w:val="0"/>
        <w:keepLines w:val="0"/>
        <w:pageBreakBefore w:val="0"/>
        <w:widowControl/>
        <w:kinsoku/>
        <w:wordWrap/>
        <w:overflowPunct/>
        <w:topLinePunct w:val="0"/>
        <w:autoSpaceDE w:val="0"/>
        <w:autoSpaceDN w:val="0"/>
        <w:bidi w:val="0"/>
        <w:adjustRightInd w:val="0"/>
        <w:snapToGrid w:val="0"/>
        <w:spacing w:line="263" w:lineRule="auto"/>
        <w:jc w:val="both"/>
        <w:textAlignment w:val="baseline"/>
      </w:pPr>
    </w:p>
    <w:p w14:paraId="082940FE">
      <w:pPr>
        <w:keepNext w:val="0"/>
        <w:keepLines w:val="0"/>
        <w:pageBreakBefore w:val="0"/>
        <w:widowControl/>
        <w:kinsoku/>
        <w:wordWrap/>
        <w:overflowPunct/>
        <w:topLinePunct w:val="0"/>
        <w:autoSpaceDE w:val="0"/>
        <w:autoSpaceDN w:val="0"/>
        <w:bidi w:val="0"/>
        <w:adjustRightInd w:val="0"/>
        <w:snapToGrid w:val="0"/>
        <w:spacing w:before="100" w:line="230" w:lineRule="auto"/>
        <w:ind w:left="3482"/>
        <w:jc w:val="both"/>
        <w:textAlignment w:val="baseline"/>
        <w:rPr>
          <w:rFonts w:ascii="楷体" w:hAnsi="楷体" w:eastAsia="楷体" w:cs="楷体"/>
          <w:sz w:val="31"/>
          <w:szCs w:val="31"/>
        </w:rPr>
      </w:pPr>
      <w:r>
        <w:rPr>
          <w:rFonts w:ascii="宋体" w:hAnsi="宋体" w:eastAsia="宋体" w:cs="宋体"/>
          <w:sz w:val="31"/>
          <w:szCs w:val="31"/>
        </w:rPr>
        <w:t>（</w:t>
      </w:r>
      <w:r>
        <w:rPr>
          <w:rFonts w:ascii="楷体" w:hAnsi="楷体" w:eastAsia="楷体" w:cs="楷体"/>
          <w:sz w:val="31"/>
          <w:szCs w:val="31"/>
        </w:rPr>
        <w:t>第一版）</w:t>
      </w:r>
    </w:p>
    <w:p w14:paraId="09C1D6A2">
      <w:pPr>
        <w:pStyle w:val="2"/>
        <w:keepNext w:val="0"/>
        <w:keepLines w:val="0"/>
        <w:pageBreakBefore w:val="0"/>
        <w:widowControl/>
        <w:kinsoku/>
        <w:wordWrap/>
        <w:overflowPunct/>
        <w:topLinePunct w:val="0"/>
        <w:autoSpaceDE w:val="0"/>
        <w:autoSpaceDN w:val="0"/>
        <w:bidi w:val="0"/>
        <w:adjustRightInd w:val="0"/>
        <w:snapToGrid w:val="0"/>
        <w:spacing w:line="251" w:lineRule="auto"/>
        <w:jc w:val="both"/>
        <w:textAlignment w:val="baseline"/>
      </w:pPr>
    </w:p>
    <w:p w14:paraId="01763680">
      <w:pPr>
        <w:pStyle w:val="2"/>
        <w:keepNext w:val="0"/>
        <w:keepLines w:val="0"/>
        <w:pageBreakBefore w:val="0"/>
        <w:widowControl/>
        <w:kinsoku/>
        <w:wordWrap/>
        <w:overflowPunct/>
        <w:topLinePunct w:val="0"/>
        <w:autoSpaceDE w:val="0"/>
        <w:autoSpaceDN w:val="0"/>
        <w:bidi w:val="0"/>
        <w:adjustRightInd w:val="0"/>
        <w:snapToGrid w:val="0"/>
        <w:spacing w:line="252" w:lineRule="auto"/>
        <w:jc w:val="both"/>
        <w:textAlignment w:val="baseline"/>
      </w:pPr>
    </w:p>
    <w:p w14:paraId="54F7FA94">
      <w:pPr>
        <w:pStyle w:val="2"/>
        <w:keepNext w:val="0"/>
        <w:keepLines w:val="0"/>
        <w:pageBreakBefore w:val="0"/>
        <w:widowControl/>
        <w:kinsoku/>
        <w:wordWrap/>
        <w:overflowPunct/>
        <w:topLinePunct w:val="0"/>
        <w:autoSpaceDE w:val="0"/>
        <w:autoSpaceDN w:val="0"/>
        <w:bidi w:val="0"/>
        <w:adjustRightInd w:val="0"/>
        <w:snapToGrid w:val="0"/>
        <w:spacing w:line="252" w:lineRule="auto"/>
        <w:jc w:val="both"/>
        <w:textAlignment w:val="baseline"/>
      </w:pPr>
    </w:p>
    <w:p w14:paraId="2739C027">
      <w:pPr>
        <w:pStyle w:val="2"/>
        <w:keepNext w:val="0"/>
        <w:keepLines w:val="0"/>
        <w:pageBreakBefore w:val="0"/>
        <w:widowControl/>
        <w:kinsoku/>
        <w:wordWrap/>
        <w:overflowPunct/>
        <w:topLinePunct w:val="0"/>
        <w:autoSpaceDE w:val="0"/>
        <w:autoSpaceDN w:val="0"/>
        <w:bidi w:val="0"/>
        <w:adjustRightInd w:val="0"/>
        <w:snapToGrid w:val="0"/>
        <w:spacing w:line="252" w:lineRule="auto"/>
        <w:jc w:val="both"/>
        <w:textAlignment w:val="baseline"/>
      </w:pPr>
    </w:p>
    <w:p w14:paraId="269A20A8">
      <w:pPr>
        <w:pStyle w:val="2"/>
        <w:keepNext w:val="0"/>
        <w:keepLines w:val="0"/>
        <w:pageBreakBefore w:val="0"/>
        <w:widowControl/>
        <w:kinsoku/>
        <w:wordWrap/>
        <w:overflowPunct/>
        <w:topLinePunct w:val="0"/>
        <w:autoSpaceDE w:val="0"/>
        <w:autoSpaceDN w:val="0"/>
        <w:bidi w:val="0"/>
        <w:adjustRightInd w:val="0"/>
        <w:snapToGrid w:val="0"/>
        <w:spacing w:line="252" w:lineRule="auto"/>
        <w:jc w:val="both"/>
        <w:textAlignment w:val="baseline"/>
      </w:pPr>
    </w:p>
    <w:p w14:paraId="17B17B42">
      <w:pPr>
        <w:pStyle w:val="2"/>
        <w:keepNext w:val="0"/>
        <w:keepLines w:val="0"/>
        <w:pageBreakBefore w:val="0"/>
        <w:widowControl/>
        <w:kinsoku/>
        <w:wordWrap/>
        <w:overflowPunct/>
        <w:topLinePunct w:val="0"/>
        <w:autoSpaceDE w:val="0"/>
        <w:autoSpaceDN w:val="0"/>
        <w:bidi w:val="0"/>
        <w:adjustRightInd w:val="0"/>
        <w:snapToGrid w:val="0"/>
        <w:spacing w:line="252" w:lineRule="auto"/>
        <w:jc w:val="both"/>
        <w:textAlignment w:val="baseline"/>
      </w:pPr>
    </w:p>
    <w:p w14:paraId="68E8CCF8">
      <w:pPr>
        <w:pStyle w:val="2"/>
        <w:keepNext w:val="0"/>
        <w:keepLines w:val="0"/>
        <w:pageBreakBefore w:val="0"/>
        <w:widowControl/>
        <w:kinsoku/>
        <w:wordWrap/>
        <w:overflowPunct/>
        <w:topLinePunct w:val="0"/>
        <w:autoSpaceDE w:val="0"/>
        <w:autoSpaceDN w:val="0"/>
        <w:bidi w:val="0"/>
        <w:adjustRightInd w:val="0"/>
        <w:snapToGrid w:val="0"/>
        <w:spacing w:line="252" w:lineRule="auto"/>
        <w:jc w:val="both"/>
        <w:textAlignment w:val="baseline"/>
      </w:pPr>
    </w:p>
    <w:p w14:paraId="3C6B8D60">
      <w:pPr>
        <w:pStyle w:val="2"/>
        <w:keepNext w:val="0"/>
        <w:keepLines w:val="0"/>
        <w:pageBreakBefore w:val="0"/>
        <w:widowControl/>
        <w:kinsoku/>
        <w:wordWrap/>
        <w:overflowPunct/>
        <w:topLinePunct w:val="0"/>
        <w:autoSpaceDE w:val="0"/>
        <w:autoSpaceDN w:val="0"/>
        <w:bidi w:val="0"/>
        <w:adjustRightInd w:val="0"/>
        <w:snapToGrid w:val="0"/>
        <w:spacing w:line="252" w:lineRule="auto"/>
        <w:jc w:val="both"/>
        <w:textAlignment w:val="baseline"/>
      </w:pPr>
    </w:p>
    <w:p w14:paraId="79B22B6A">
      <w:pPr>
        <w:pStyle w:val="2"/>
        <w:keepNext w:val="0"/>
        <w:keepLines w:val="0"/>
        <w:pageBreakBefore w:val="0"/>
        <w:widowControl/>
        <w:kinsoku/>
        <w:wordWrap/>
        <w:overflowPunct/>
        <w:topLinePunct w:val="0"/>
        <w:autoSpaceDE w:val="0"/>
        <w:autoSpaceDN w:val="0"/>
        <w:bidi w:val="0"/>
        <w:adjustRightInd w:val="0"/>
        <w:snapToGrid w:val="0"/>
        <w:spacing w:line="252" w:lineRule="auto"/>
        <w:jc w:val="both"/>
        <w:textAlignment w:val="baseline"/>
      </w:pPr>
    </w:p>
    <w:p w14:paraId="71113BAB">
      <w:pPr>
        <w:pStyle w:val="2"/>
        <w:keepNext w:val="0"/>
        <w:keepLines w:val="0"/>
        <w:pageBreakBefore w:val="0"/>
        <w:widowControl/>
        <w:kinsoku/>
        <w:wordWrap/>
        <w:overflowPunct/>
        <w:topLinePunct w:val="0"/>
        <w:autoSpaceDE w:val="0"/>
        <w:autoSpaceDN w:val="0"/>
        <w:bidi w:val="0"/>
        <w:adjustRightInd w:val="0"/>
        <w:snapToGrid w:val="0"/>
        <w:spacing w:line="252" w:lineRule="auto"/>
        <w:jc w:val="both"/>
        <w:textAlignment w:val="baseline"/>
      </w:pPr>
    </w:p>
    <w:p w14:paraId="7E4AA8B2">
      <w:pPr>
        <w:pStyle w:val="2"/>
        <w:keepNext w:val="0"/>
        <w:keepLines w:val="0"/>
        <w:pageBreakBefore w:val="0"/>
        <w:widowControl/>
        <w:kinsoku/>
        <w:wordWrap/>
        <w:overflowPunct/>
        <w:topLinePunct w:val="0"/>
        <w:autoSpaceDE w:val="0"/>
        <w:autoSpaceDN w:val="0"/>
        <w:bidi w:val="0"/>
        <w:adjustRightInd w:val="0"/>
        <w:snapToGrid w:val="0"/>
        <w:spacing w:line="252" w:lineRule="auto"/>
        <w:jc w:val="both"/>
        <w:textAlignment w:val="baseline"/>
      </w:pPr>
    </w:p>
    <w:p w14:paraId="2554EF73">
      <w:pPr>
        <w:pStyle w:val="2"/>
        <w:keepNext w:val="0"/>
        <w:keepLines w:val="0"/>
        <w:pageBreakBefore w:val="0"/>
        <w:widowControl/>
        <w:kinsoku/>
        <w:wordWrap/>
        <w:overflowPunct/>
        <w:topLinePunct w:val="0"/>
        <w:autoSpaceDE w:val="0"/>
        <w:autoSpaceDN w:val="0"/>
        <w:bidi w:val="0"/>
        <w:adjustRightInd w:val="0"/>
        <w:snapToGrid w:val="0"/>
        <w:spacing w:line="252" w:lineRule="auto"/>
        <w:jc w:val="both"/>
        <w:textAlignment w:val="baseline"/>
      </w:pPr>
    </w:p>
    <w:p w14:paraId="03EE83EC">
      <w:pPr>
        <w:pStyle w:val="2"/>
        <w:keepNext w:val="0"/>
        <w:keepLines w:val="0"/>
        <w:pageBreakBefore w:val="0"/>
        <w:widowControl/>
        <w:kinsoku/>
        <w:wordWrap/>
        <w:overflowPunct/>
        <w:topLinePunct w:val="0"/>
        <w:autoSpaceDE w:val="0"/>
        <w:autoSpaceDN w:val="0"/>
        <w:bidi w:val="0"/>
        <w:adjustRightInd w:val="0"/>
        <w:snapToGrid w:val="0"/>
        <w:spacing w:line="252" w:lineRule="auto"/>
        <w:jc w:val="both"/>
        <w:textAlignment w:val="baseline"/>
      </w:pPr>
    </w:p>
    <w:p w14:paraId="1DCAD015">
      <w:pPr>
        <w:keepNext w:val="0"/>
        <w:keepLines w:val="0"/>
        <w:pageBreakBefore w:val="0"/>
        <w:widowControl/>
        <w:kinsoku/>
        <w:wordWrap/>
        <w:overflowPunct/>
        <w:topLinePunct w:val="0"/>
        <w:autoSpaceDE w:val="0"/>
        <w:autoSpaceDN w:val="0"/>
        <w:bidi w:val="0"/>
        <w:adjustRightInd w:val="0"/>
        <w:snapToGrid w:val="0"/>
        <w:spacing w:before="139" w:line="229" w:lineRule="auto"/>
        <w:ind w:left="3250"/>
        <w:jc w:val="both"/>
        <w:textAlignment w:val="baseline"/>
        <w:rPr>
          <w:rFonts w:ascii="楷体" w:hAnsi="楷体" w:eastAsia="楷体" w:cs="楷体"/>
          <w:sz w:val="43"/>
          <w:szCs w:val="43"/>
        </w:rPr>
        <w:sectPr>
          <w:pgSz w:w="11910" w:h="16840"/>
          <w:pgMar w:top="1431" w:right="1786" w:bottom="0" w:left="1709" w:header="0" w:footer="0" w:gutter="0"/>
          <w:cols w:space="720" w:num="1"/>
        </w:sectPr>
      </w:pPr>
      <w:r>
        <w:rPr>
          <w:rFonts w:ascii="Times New Roman" w:hAnsi="Times New Roman" w:eastAsia="Times New Roman" w:cs="Times New Roman"/>
          <w:spacing w:val="3"/>
          <w:sz w:val="43"/>
          <w:szCs w:val="43"/>
        </w:rPr>
        <w:t>2025</w:t>
      </w:r>
      <w:r>
        <w:rPr>
          <w:rFonts w:ascii="楷体" w:hAnsi="楷体" w:eastAsia="楷体" w:cs="楷体"/>
          <w:spacing w:val="3"/>
          <w:sz w:val="43"/>
          <w:szCs w:val="43"/>
        </w:rPr>
        <w:t>年</w:t>
      </w:r>
      <w:r>
        <w:rPr>
          <w:rFonts w:hint="eastAsia" w:ascii="Times New Roman" w:hAnsi="Times New Roman" w:eastAsia="宋体" w:cs="Times New Roman"/>
          <w:spacing w:val="3"/>
          <w:sz w:val="43"/>
          <w:szCs w:val="43"/>
          <w:lang w:val="en-US" w:eastAsia="zh-CN"/>
        </w:rPr>
        <w:t>7月</w:t>
      </w:r>
    </w:p>
    <w:p w14:paraId="07301C7B">
      <w:pPr>
        <w:pStyle w:val="2"/>
        <w:keepNext w:val="0"/>
        <w:keepLines w:val="0"/>
        <w:pageBreakBefore w:val="0"/>
        <w:widowControl/>
        <w:kinsoku/>
        <w:wordWrap/>
        <w:overflowPunct/>
        <w:topLinePunct w:val="0"/>
        <w:autoSpaceDE w:val="0"/>
        <w:autoSpaceDN w:val="0"/>
        <w:bidi w:val="0"/>
        <w:adjustRightInd w:val="0"/>
        <w:snapToGrid w:val="0"/>
        <w:spacing w:line="286" w:lineRule="auto"/>
        <w:jc w:val="both"/>
        <w:textAlignment w:val="baseline"/>
      </w:pPr>
    </w:p>
    <w:sdt>
      <w:sdtPr>
        <w:rPr>
          <w:rFonts w:ascii="黑体" w:hAnsi="黑体" w:eastAsia="黑体" w:cs="黑体"/>
          <w:sz w:val="31"/>
          <w:szCs w:val="31"/>
        </w:rPr>
        <w:id w:val="147465156"/>
        <w:docPartObj>
          <w:docPartGallery w:val="Table of Contents"/>
          <w:docPartUnique/>
        </w:docPartObj>
      </w:sdtPr>
      <w:sdtEndPr>
        <w:rPr>
          <w:rFonts w:ascii="黑体" w:hAnsi="黑体" w:eastAsia="黑体" w:cs="黑体"/>
          <w:sz w:val="20"/>
          <w:szCs w:val="20"/>
        </w:rPr>
      </w:sdtEndPr>
      <w:sdtContent>
        <w:p w14:paraId="3086ACB1">
          <w:pPr>
            <w:keepNext w:val="0"/>
            <w:keepLines w:val="0"/>
            <w:pageBreakBefore w:val="0"/>
            <w:widowControl/>
            <w:kinsoku/>
            <w:wordWrap/>
            <w:overflowPunct/>
            <w:topLinePunct w:val="0"/>
            <w:autoSpaceDE w:val="0"/>
            <w:autoSpaceDN w:val="0"/>
            <w:bidi w:val="0"/>
            <w:adjustRightInd w:val="0"/>
            <w:snapToGrid w:val="0"/>
            <w:spacing w:before="100" w:line="227" w:lineRule="auto"/>
            <w:ind w:left="4069"/>
            <w:jc w:val="both"/>
            <w:textAlignment w:val="baseline"/>
            <w:rPr>
              <w:rFonts w:ascii="黑体" w:hAnsi="黑体" w:eastAsia="黑体" w:cs="黑体"/>
              <w:sz w:val="31"/>
              <w:szCs w:val="31"/>
            </w:rPr>
          </w:pPr>
          <w:r>
            <w:rPr>
              <w:rFonts w:ascii="黑体" w:hAnsi="黑体" w:eastAsia="黑体" w:cs="黑体"/>
              <w:spacing w:val="-18"/>
              <w:sz w:val="31"/>
              <w:szCs w:val="31"/>
            </w:rPr>
            <w:t>目录</w:t>
          </w:r>
        </w:p>
        <w:p w14:paraId="79F7097C">
          <w:pPr>
            <w:pStyle w:val="2"/>
            <w:keepNext w:val="0"/>
            <w:keepLines w:val="0"/>
            <w:pageBreakBefore w:val="0"/>
            <w:widowControl/>
            <w:kinsoku/>
            <w:wordWrap/>
            <w:overflowPunct/>
            <w:topLinePunct w:val="0"/>
            <w:autoSpaceDE w:val="0"/>
            <w:autoSpaceDN w:val="0"/>
            <w:bidi w:val="0"/>
            <w:adjustRightInd w:val="0"/>
            <w:snapToGrid w:val="0"/>
            <w:spacing w:line="273" w:lineRule="auto"/>
            <w:jc w:val="both"/>
            <w:textAlignment w:val="baseline"/>
          </w:pPr>
        </w:p>
        <w:p w14:paraId="57C2F6EB">
          <w:pPr>
            <w:pStyle w:val="2"/>
            <w:keepNext w:val="0"/>
            <w:keepLines w:val="0"/>
            <w:pageBreakBefore w:val="0"/>
            <w:widowControl/>
            <w:kinsoku/>
            <w:wordWrap/>
            <w:overflowPunct/>
            <w:topLinePunct w:val="0"/>
            <w:autoSpaceDE w:val="0"/>
            <w:autoSpaceDN w:val="0"/>
            <w:bidi w:val="0"/>
            <w:adjustRightInd w:val="0"/>
            <w:snapToGrid w:val="0"/>
            <w:spacing w:line="273" w:lineRule="auto"/>
            <w:jc w:val="both"/>
            <w:textAlignment w:val="baseline"/>
          </w:pPr>
        </w:p>
        <w:p w14:paraId="76E84CB8">
          <w:pPr>
            <w:pStyle w:val="2"/>
            <w:keepNext w:val="0"/>
            <w:keepLines w:val="0"/>
            <w:pageBreakBefore w:val="0"/>
            <w:widowControl/>
            <w:kinsoku/>
            <w:wordWrap/>
            <w:overflowPunct/>
            <w:topLinePunct w:val="0"/>
            <w:autoSpaceDE w:val="0"/>
            <w:autoSpaceDN w:val="0"/>
            <w:bidi w:val="0"/>
            <w:adjustRightInd w:val="0"/>
            <w:snapToGrid w:val="0"/>
            <w:spacing w:line="273" w:lineRule="auto"/>
            <w:jc w:val="both"/>
            <w:textAlignment w:val="baseline"/>
          </w:pPr>
        </w:p>
        <w:p w14:paraId="3C91C449">
          <w:pPr>
            <w:keepNext w:val="0"/>
            <w:keepLines w:val="0"/>
            <w:pageBreakBefore w:val="0"/>
            <w:widowControl/>
            <w:kinsoku/>
            <w:wordWrap/>
            <w:overflowPunct/>
            <w:topLinePunct w:val="0"/>
            <w:autoSpaceDE w:val="0"/>
            <w:autoSpaceDN w:val="0"/>
            <w:bidi w:val="0"/>
            <w:adjustRightInd w:val="0"/>
            <w:snapToGrid w:val="0"/>
            <w:spacing w:before="65" w:line="230" w:lineRule="auto"/>
            <w:ind w:left="3914"/>
            <w:jc w:val="both"/>
            <w:textAlignment w:val="baseline"/>
            <w:rPr>
              <w:rFonts w:ascii="黑体" w:hAnsi="黑体" w:eastAsia="黑体" w:cs="黑体"/>
              <w:sz w:val="20"/>
              <w:szCs w:val="20"/>
            </w:rPr>
          </w:pPr>
          <w:bookmarkStart w:id="0" w:name="bookmark1"/>
          <w:bookmarkEnd w:id="0"/>
          <w:r>
            <w:fldChar w:fldCharType="begin"/>
          </w:r>
          <w:r>
            <w:instrText xml:space="preserve"> HYPERLINK \l "bookmark1" </w:instrText>
          </w:r>
          <w:r>
            <w:fldChar w:fldCharType="separate"/>
          </w:r>
          <w:r>
            <w:rPr>
              <w:rFonts w:ascii="黑体" w:hAnsi="黑体" w:eastAsia="黑体" w:cs="黑体"/>
              <w:spacing w:val="6"/>
              <w:sz w:val="20"/>
              <w:szCs w:val="20"/>
            </w:rPr>
            <w:t>专利相关</w:t>
          </w:r>
          <w:r>
            <w:rPr>
              <w:rFonts w:ascii="黑体" w:hAnsi="黑体" w:eastAsia="黑体" w:cs="黑体"/>
              <w:spacing w:val="6"/>
              <w:sz w:val="20"/>
              <w:szCs w:val="20"/>
            </w:rPr>
            <w:fldChar w:fldCharType="end"/>
          </w:r>
        </w:p>
        <w:p w14:paraId="22686CFB">
          <w:pPr>
            <w:pStyle w:val="2"/>
            <w:keepNext w:val="0"/>
            <w:keepLines w:val="0"/>
            <w:pageBreakBefore w:val="0"/>
            <w:widowControl/>
            <w:kinsoku/>
            <w:wordWrap/>
            <w:overflowPunct/>
            <w:topLinePunct w:val="0"/>
            <w:autoSpaceDE w:val="0"/>
            <w:autoSpaceDN w:val="0"/>
            <w:bidi w:val="0"/>
            <w:adjustRightInd w:val="0"/>
            <w:snapToGrid w:val="0"/>
            <w:spacing w:line="259" w:lineRule="auto"/>
            <w:jc w:val="both"/>
            <w:textAlignment w:val="baseline"/>
          </w:pPr>
          <w:bookmarkStart w:id="49" w:name="_GoBack"/>
          <w:bookmarkEnd w:id="49"/>
        </w:p>
        <w:p w14:paraId="0876070F">
          <w:pPr>
            <w:pStyle w:val="2"/>
            <w:keepNext w:val="0"/>
            <w:keepLines w:val="0"/>
            <w:pageBreakBefore w:val="0"/>
            <w:widowControl/>
            <w:kinsoku/>
            <w:wordWrap/>
            <w:overflowPunct/>
            <w:topLinePunct w:val="0"/>
            <w:autoSpaceDE w:val="0"/>
            <w:autoSpaceDN w:val="0"/>
            <w:bidi w:val="0"/>
            <w:adjustRightInd w:val="0"/>
            <w:snapToGrid w:val="0"/>
            <w:spacing w:line="260" w:lineRule="auto"/>
            <w:jc w:val="both"/>
            <w:textAlignment w:val="baseline"/>
          </w:pPr>
        </w:p>
        <w:p w14:paraId="2A1FDAFF">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65" w:line="197" w:lineRule="auto"/>
            <w:ind w:left="4"/>
            <w:jc w:val="both"/>
            <w:textAlignment w:val="baseline"/>
            <w:rPr>
              <w:rFonts w:ascii="黑体" w:hAnsi="黑体" w:eastAsia="黑体" w:cs="黑体"/>
              <w:sz w:val="20"/>
              <w:szCs w:val="20"/>
            </w:rPr>
          </w:pPr>
          <w:bookmarkStart w:id="1" w:name="bookmark2"/>
          <w:bookmarkEnd w:id="1"/>
          <w:r>
            <w:fldChar w:fldCharType="begin"/>
          </w:r>
          <w:r>
            <w:instrText xml:space="preserve"> HYPERLINK \l "bookmark3" </w:instrText>
          </w:r>
          <w:r>
            <w:fldChar w:fldCharType="separate"/>
          </w:r>
          <w:r>
            <w:rPr>
              <w:rFonts w:ascii="黑体" w:hAnsi="黑体" w:eastAsia="黑体" w:cs="黑体"/>
              <w:spacing w:val="-1"/>
              <w:sz w:val="20"/>
              <w:szCs w:val="20"/>
            </w:rPr>
            <w:t>一、专利预审请求</w:t>
          </w:r>
          <w:r>
            <w:rPr>
              <w:rFonts w:hint="eastAsia" w:ascii="黑体" w:hAnsi="黑体" w:eastAsia="黑体" w:cs="黑体"/>
              <w:spacing w:val="-1"/>
              <w:sz w:val="20"/>
              <w:szCs w:val="20"/>
              <w:lang w:eastAsia="zh-CN"/>
            </w:rPr>
            <w:t>咨询</w:t>
          </w:r>
          <w:r>
            <w:rPr>
              <w:rFonts w:ascii="黑体" w:hAnsi="黑体" w:eastAsia="黑体" w:cs="黑体"/>
              <w:spacing w:val="-35"/>
              <w:sz w:val="20"/>
              <w:szCs w:val="20"/>
            </w:rPr>
            <w:t xml:space="preserve"> </w:t>
          </w:r>
          <w:r>
            <w:rPr>
              <w:rFonts w:ascii="黑体" w:hAnsi="黑体" w:eastAsia="黑体" w:cs="黑体"/>
              <w:sz w:val="20"/>
              <w:szCs w:val="20"/>
            </w:rPr>
            <w:tab/>
          </w:r>
          <w:r>
            <w:rPr>
              <w:rFonts w:ascii="黑体" w:hAnsi="黑体" w:eastAsia="黑体" w:cs="黑体"/>
              <w:spacing w:val="7"/>
              <w:sz w:val="20"/>
              <w:szCs w:val="20"/>
            </w:rPr>
            <w:t xml:space="preserve"> </w:t>
          </w:r>
          <w:r>
            <w:rPr>
              <w:rFonts w:ascii="黑体" w:hAnsi="黑体" w:eastAsia="黑体" w:cs="黑体"/>
              <w:spacing w:val="-4"/>
              <w:sz w:val="20"/>
              <w:szCs w:val="20"/>
            </w:rPr>
            <w:t>-</w:t>
          </w:r>
          <w:r>
            <w:rPr>
              <w:rFonts w:ascii="黑体" w:hAnsi="黑体" w:eastAsia="黑体" w:cs="黑体"/>
              <w:spacing w:val="14"/>
              <w:sz w:val="20"/>
              <w:szCs w:val="20"/>
            </w:rPr>
            <w:t xml:space="preserve"> </w:t>
          </w:r>
          <w:r>
            <w:rPr>
              <w:rFonts w:ascii="黑体" w:hAnsi="黑体" w:eastAsia="黑体" w:cs="黑体"/>
              <w:spacing w:val="-4"/>
              <w:sz w:val="20"/>
              <w:szCs w:val="20"/>
            </w:rPr>
            <w:t>1 -</w:t>
          </w:r>
          <w:r>
            <w:rPr>
              <w:rFonts w:ascii="黑体" w:hAnsi="黑体" w:eastAsia="黑体" w:cs="黑体"/>
              <w:spacing w:val="-4"/>
              <w:sz w:val="20"/>
              <w:szCs w:val="20"/>
            </w:rPr>
            <w:fldChar w:fldCharType="end"/>
          </w:r>
        </w:p>
        <w:p w14:paraId="0B354347">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194" w:line="196" w:lineRule="auto"/>
            <w:ind w:left="4"/>
            <w:jc w:val="both"/>
            <w:textAlignment w:val="baseline"/>
            <w:rPr>
              <w:rFonts w:ascii="黑体" w:hAnsi="黑体" w:eastAsia="黑体" w:cs="黑体"/>
              <w:sz w:val="20"/>
              <w:szCs w:val="20"/>
            </w:rPr>
          </w:pPr>
          <w:bookmarkStart w:id="2" w:name="bookmark4"/>
          <w:bookmarkEnd w:id="2"/>
          <w:r>
            <w:fldChar w:fldCharType="begin"/>
          </w:r>
          <w:r>
            <w:instrText xml:space="preserve"> HYPERLINK \l "bookmark5" </w:instrText>
          </w:r>
          <w:r>
            <w:fldChar w:fldCharType="separate"/>
          </w:r>
          <w:r>
            <w:rPr>
              <w:rFonts w:ascii="黑体" w:hAnsi="黑体" w:eastAsia="黑体" w:cs="黑体"/>
              <w:spacing w:val="-1"/>
              <w:sz w:val="20"/>
              <w:szCs w:val="20"/>
            </w:rPr>
            <w:t>二、专利实施许可合同备案</w:t>
          </w:r>
          <w:r>
            <w:rPr>
              <w:rFonts w:hint="eastAsia" w:ascii="黑体" w:hAnsi="黑体" w:eastAsia="黑体" w:cs="黑体"/>
              <w:spacing w:val="-1"/>
              <w:sz w:val="20"/>
              <w:szCs w:val="20"/>
              <w:lang w:eastAsia="zh-CN"/>
            </w:rPr>
            <w:t>咨询</w:t>
          </w:r>
          <w:r>
            <w:rPr>
              <w:rFonts w:ascii="黑体" w:hAnsi="黑体" w:eastAsia="黑体" w:cs="黑体"/>
              <w:spacing w:val="-32"/>
              <w:sz w:val="20"/>
              <w:szCs w:val="20"/>
            </w:rPr>
            <w:t xml:space="preserve"> </w:t>
          </w:r>
          <w:r>
            <w:rPr>
              <w:rFonts w:ascii="黑体" w:hAnsi="黑体" w:eastAsia="黑体" w:cs="黑体"/>
              <w:sz w:val="20"/>
              <w:szCs w:val="20"/>
            </w:rPr>
            <w:tab/>
          </w:r>
          <w:r>
            <w:rPr>
              <w:rFonts w:ascii="黑体" w:hAnsi="黑体" w:eastAsia="黑体" w:cs="黑体"/>
              <w:spacing w:val="6"/>
              <w:sz w:val="20"/>
              <w:szCs w:val="20"/>
            </w:rPr>
            <w:t>-</w:t>
          </w:r>
          <w:r>
            <w:rPr>
              <w:rFonts w:ascii="黑体" w:hAnsi="黑体" w:eastAsia="黑体" w:cs="黑体"/>
              <w:spacing w:val="3"/>
              <w:sz w:val="20"/>
              <w:szCs w:val="20"/>
            </w:rPr>
            <w:t xml:space="preserve"> </w:t>
          </w:r>
          <w:r>
            <w:rPr>
              <w:rFonts w:hint="eastAsia" w:ascii="黑体" w:hAnsi="黑体" w:eastAsia="黑体" w:cs="黑体"/>
              <w:spacing w:val="6"/>
              <w:sz w:val="20"/>
              <w:szCs w:val="20"/>
              <w:lang w:val="en-US" w:eastAsia="zh-CN"/>
            </w:rPr>
            <w:t>5</w:t>
          </w:r>
          <w:r>
            <w:rPr>
              <w:rFonts w:ascii="黑体" w:hAnsi="黑体" w:eastAsia="黑体" w:cs="黑体"/>
              <w:spacing w:val="-1"/>
              <w:sz w:val="20"/>
              <w:szCs w:val="20"/>
            </w:rPr>
            <w:t xml:space="preserve"> </w:t>
          </w:r>
          <w:r>
            <w:rPr>
              <w:rFonts w:ascii="黑体" w:hAnsi="黑体" w:eastAsia="黑体" w:cs="黑体"/>
              <w:spacing w:val="6"/>
              <w:sz w:val="20"/>
              <w:szCs w:val="20"/>
            </w:rPr>
            <w:t>-</w:t>
          </w:r>
          <w:r>
            <w:rPr>
              <w:rFonts w:ascii="黑体" w:hAnsi="黑体" w:eastAsia="黑体" w:cs="黑体"/>
              <w:spacing w:val="6"/>
              <w:sz w:val="20"/>
              <w:szCs w:val="20"/>
            </w:rPr>
            <w:fldChar w:fldCharType="end"/>
          </w:r>
        </w:p>
        <w:p w14:paraId="12C93036">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196" w:line="230" w:lineRule="auto"/>
            <w:ind w:left="5"/>
            <w:jc w:val="both"/>
            <w:textAlignment w:val="baseline"/>
            <w:rPr>
              <w:rFonts w:ascii="黑体" w:hAnsi="黑体" w:eastAsia="黑体" w:cs="黑体"/>
              <w:sz w:val="20"/>
              <w:szCs w:val="20"/>
            </w:rPr>
          </w:pPr>
          <w:bookmarkStart w:id="3" w:name="bookmark6"/>
          <w:bookmarkEnd w:id="3"/>
          <w:r>
            <w:fldChar w:fldCharType="begin"/>
          </w:r>
          <w:r>
            <w:instrText xml:space="preserve"> HYPERLINK \l "bookmark7" </w:instrText>
          </w:r>
          <w:r>
            <w:fldChar w:fldCharType="separate"/>
          </w:r>
          <w:r>
            <w:rPr>
              <w:rFonts w:ascii="黑体" w:hAnsi="黑体" w:eastAsia="黑体" w:cs="黑体"/>
              <w:spacing w:val="-1"/>
              <w:sz w:val="20"/>
              <w:szCs w:val="20"/>
            </w:rPr>
            <w:t>三、专利权质押登记</w:t>
          </w:r>
          <w:r>
            <w:rPr>
              <w:rFonts w:hint="eastAsia" w:ascii="黑体" w:hAnsi="黑体" w:eastAsia="黑体" w:cs="黑体"/>
              <w:spacing w:val="-1"/>
              <w:sz w:val="20"/>
              <w:szCs w:val="20"/>
              <w:lang w:eastAsia="zh-CN"/>
            </w:rPr>
            <w:t>咨询</w:t>
          </w:r>
          <w:r>
            <w:rPr>
              <w:rFonts w:ascii="黑体" w:hAnsi="黑体" w:eastAsia="黑体" w:cs="黑体"/>
              <w:spacing w:val="-36"/>
              <w:sz w:val="20"/>
              <w:szCs w:val="20"/>
            </w:rPr>
            <w:t xml:space="preserve"> </w:t>
          </w:r>
          <w:r>
            <w:rPr>
              <w:rFonts w:ascii="黑体" w:hAnsi="黑体" w:eastAsia="黑体" w:cs="黑体"/>
              <w:sz w:val="20"/>
              <w:szCs w:val="20"/>
            </w:rPr>
            <w:tab/>
          </w:r>
          <w:r>
            <w:rPr>
              <w:rFonts w:ascii="黑体" w:hAnsi="黑体" w:eastAsia="黑体" w:cs="黑体"/>
              <w:spacing w:val="1"/>
              <w:sz w:val="20"/>
              <w:szCs w:val="20"/>
            </w:rPr>
            <w:t xml:space="preserve"> </w:t>
          </w:r>
          <w:r>
            <w:rPr>
              <w:rFonts w:ascii="黑体" w:hAnsi="黑体" w:eastAsia="黑体" w:cs="黑体"/>
              <w:spacing w:val="-3"/>
              <w:sz w:val="20"/>
              <w:szCs w:val="20"/>
            </w:rPr>
            <w:t>-</w:t>
          </w:r>
          <w:r>
            <w:rPr>
              <w:rFonts w:ascii="黑体" w:hAnsi="黑体" w:eastAsia="黑体" w:cs="黑体"/>
              <w:spacing w:val="14"/>
              <w:sz w:val="20"/>
              <w:szCs w:val="20"/>
            </w:rPr>
            <w:t xml:space="preserve"> </w:t>
          </w:r>
          <w:r>
            <w:rPr>
              <w:rFonts w:ascii="黑体" w:hAnsi="黑体" w:eastAsia="黑体" w:cs="黑体"/>
              <w:spacing w:val="-3"/>
              <w:sz w:val="20"/>
              <w:szCs w:val="20"/>
            </w:rPr>
            <w:t>1</w:t>
          </w:r>
          <w:r>
            <w:rPr>
              <w:rFonts w:hint="eastAsia" w:ascii="黑体" w:hAnsi="黑体" w:eastAsia="黑体" w:cs="黑体"/>
              <w:spacing w:val="-3"/>
              <w:sz w:val="20"/>
              <w:szCs w:val="20"/>
              <w:lang w:val="en-US" w:eastAsia="zh-CN"/>
            </w:rPr>
            <w:t>0</w:t>
          </w:r>
          <w:r>
            <w:rPr>
              <w:rFonts w:ascii="黑体" w:hAnsi="黑体" w:eastAsia="黑体" w:cs="黑体"/>
              <w:spacing w:val="-3"/>
              <w:sz w:val="20"/>
              <w:szCs w:val="20"/>
            </w:rPr>
            <w:t xml:space="preserve"> -</w:t>
          </w:r>
          <w:r>
            <w:rPr>
              <w:rFonts w:ascii="黑体" w:hAnsi="黑体" w:eastAsia="黑体" w:cs="黑体"/>
              <w:spacing w:val="-3"/>
              <w:sz w:val="20"/>
              <w:szCs w:val="20"/>
            </w:rPr>
            <w:fldChar w:fldCharType="end"/>
          </w:r>
        </w:p>
        <w:p w14:paraId="45DD3C13">
          <w:pPr>
            <w:pStyle w:val="2"/>
            <w:keepNext w:val="0"/>
            <w:keepLines w:val="0"/>
            <w:pageBreakBefore w:val="0"/>
            <w:widowControl/>
            <w:kinsoku/>
            <w:wordWrap/>
            <w:overflowPunct/>
            <w:topLinePunct w:val="0"/>
            <w:autoSpaceDE w:val="0"/>
            <w:autoSpaceDN w:val="0"/>
            <w:bidi w:val="0"/>
            <w:adjustRightInd w:val="0"/>
            <w:snapToGrid w:val="0"/>
            <w:spacing w:line="365" w:lineRule="auto"/>
            <w:jc w:val="both"/>
            <w:textAlignment w:val="baseline"/>
          </w:pPr>
        </w:p>
        <w:p w14:paraId="7F3E1DE1">
          <w:pPr>
            <w:keepNext w:val="0"/>
            <w:keepLines w:val="0"/>
            <w:pageBreakBefore w:val="0"/>
            <w:widowControl/>
            <w:kinsoku/>
            <w:wordWrap/>
            <w:overflowPunct/>
            <w:topLinePunct w:val="0"/>
            <w:autoSpaceDE w:val="0"/>
            <w:autoSpaceDN w:val="0"/>
            <w:bidi w:val="0"/>
            <w:adjustRightInd w:val="0"/>
            <w:snapToGrid w:val="0"/>
            <w:spacing w:before="65" w:line="230" w:lineRule="auto"/>
            <w:ind w:left="3932"/>
            <w:jc w:val="both"/>
            <w:textAlignment w:val="baseline"/>
            <w:rPr>
              <w:rFonts w:ascii="黑体" w:hAnsi="黑体" w:eastAsia="黑体" w:cs="黑体"/>
              <w:sz w:val="20"/>
              <w:szCs w:val="20"/>
            </w:rPr>
          </w:pPr>
          <w:bookmarkStart w:id="4" w:name="bookmark8"/>
          <w:bookmarkEnd w:id="4"/>
          <w:r>
            <w:fldChar w:fldCharType="begin"/>
          </w:r>
          <w:r>
            <w:instrText xml:space="preserve"> HYPERLINK \l "bookmark8" </w:instrText>
          </w:r>
          <w:r>
            <w:fldChar w:fldCharType="separate"/>
          </w:r>
          <w:r>
            <w:rPr>
              <w:rFonts w:ascii="黑体" w:hAnsi="黑体" w:eastAsia="黑体" w:cs="黑体"/>
              <w:spacing w:val="5"/>
              <w:sz w:val="20"/>
              <w:szCs w:val="20"/>
            </w:rPr>
            <w:t>商标相关</w:t>
          </w:r>
          <w:r>
            <w:rPr>
              <w:rFonts w:ascii="黑体" w:hAnsi="黑体" w:eastAsia="黑体" w:cs="黑体"/>
              <w:spacing w:val="5"/>
              <w:sz w:val="20"/>
              <w:szCs w:val="20"/>
            </w:rPr>
            <w:fldChar w:fldCharType="end"/>
          </w:r>
        </w:p>
        <w:p w14:paraId="71A63040">
          <w:pPr>
            <w:pStyle w:val="2"/>
            <w:keepNext w:val="0"/>
            <w:keepLines w:val="0"/>
            <w:pageBreakBefore w:val="0"/>
            <w:widowControl/>
            <w:kinsoku/>
            <w:wordWrap/>
            <w:overflowPunct/>
            <w:topLinePunct w:val="0"/>
            <w:autoSpaceDE w:val="0"/>
            <w:autoSpaceDN w:val="0"/>
            <w:bidi w:val="0"/>
            <w:adjustRightInd w:val="0"/>
            <w:snapToGrid w:val="0"/>
            <w:spacing w:line="249" w:lineRule="auto"/>
            <w:jc w:val="both"/>
            <w:textAlignment w:val="baseline"/>
          </w:pPr>
        </w:p>
        <w:p w14:paraId="43DE5700">
          <w:pPr>
            <w:pStyle w:val="2"/>
            <w:keepNext w:val="0"/>
            <w:keepLines w:val="0"/>
            <w:pageBreakBefore w:val="0"/>
            <w:widowControl/>
            <w:kinsoku/>
            <w:wordWrap/>
            <w:overflowPunct/>
            <w:topLinePunct w:val="0"/>
            <w:autoSpaceDE w:val="0"/>
            <w:autoSpaceDN w:val="0"/>
            <w:bidi w:val="0"/>
            <w:adjustRightInd w:val="0"/>
            <w:snapToGrid w:val="0"/>
            <w:spacing w:line="249" w:lineRule="auto"/>
            <w:jc w:val="both"/>
            <w:textAlignment w:val="baseline"/>
          </w:pPr>
        </w:p>
        <w:p w14:paraId="1B337D7C">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66" w:line="196" w:lineRule="auto"/>
            <w:ind w:left="13"/>
            <w:jc w:val="both"/>
            <w:textAlignment w:val="baseline"/>
            <w:rPr>
              <w:rFonts w:ascii="黑体" w:hAnsi="黑体" w:eastAsia="黑体" w:cs="黑体"/>
              <w:sz w:val="20"/>
              <w:szCs w:val="20"/>
            </w:rPr>
          </w:pPr>
          <w:bookmarkStart w:id="5" w:name="bookmark9"/>
          <w:bookmarkEnd w:id="5"/>
          <w:r>
            <w:fldChar w:fldCharType="begin"/>
          </w:r>
          <w:r>
            <w:instrText xml:space="preserve"> HYPERLINK \l "bookmark10" </w:instrText>
          </w:r>
          <w:r>
            <w:fldChar w:fldCharType="separate"/>
          </w:r>
          <w:r>
            <w:rPr>
              <w:rFonts w:ascii="黑体" w:hAnsi="黑体" w:eastAsia="黑体" w:cs="黑体"/>
              <w:spacing w:val="-2"/>
              <w:sz w:val="20"/>
              <w:szCs w:val="20"/>
            </w:rPr>
            <w:t>四、商标注册申请</w:t>
          </w:r>
          <w:r>
            <w:rPr>
              <w:rFonts w:hint="eastAsia" w:ascii="黑体" w:hAnsi="黑体" w:eastAsia="黑体" w:cs="黑体"/>
              <w:spacing w:val="-2"/>
              <w:sz w:val="20"/>
              <w:szCs w:val="20"/>
              <w:lang w:eastAsia="zh-CN"/>
            </w:rPr>
            <w:t>咨询</w:t>
          </w:r>
          <w:r>
            <w:rPr>
              <w:rFonts w:ascii="黑体" w:hAnsi="黑体" w:eastAsia="黑体" w:cs="黑体"/>
              <w:spacing w:val="-34"/>
              <w:sz w:val="20"/>
              <w:szCs w:val="20"/>
            </w:rPr>
            <w:t xml:space="preserve"> </w:t>
          </w:r>
          <w:r>
            <w:rPr>
              <w:rFonts w:ascii="黑体" w:hAnsi="黑体" w:eastAsia="黑体" w:cs="黑体"/>
              <w:sz w:val="20"/>
              <w:szCs w:val="20"/>
            </w:rPr>
            <w:tab/>
          </w:r>
          <w:r>
            <w:rPr>
              <w:rFonts w:ascii="黑体" w:hAnsi="黑体" w:eastAsia="黑体" w:cs="黑体"/>
              <w:spacing w:val="-2"/>
              <w:sz w:val="20"/>
              <w:szCs w:val="20"/>
            </w:rPr>
            <w:t>-</w:t>
          </w:r>
          <w:r>
            <w:rPr>
              <w:rFonts w:ascii="黑体" w:hAnsi="黑体" w:eastAsia="黑体" w:cs="黑体"/>
              <w:spacing w:val="15"/>
              <w:sz w:val="20"/>
              <w:szCs w:val="20"/>
            </w:rPr>
            <w:t xml:space="preserve"> </w:t>
          </w:r>
          <w:r>
            <w:rPr>
              <w:rFonts w:ascii="黑体" w:hAnsi="黑体" w:eastAsia="黑体" w:cs="黑体"/>
              <w:spacing w:val="-2"/>
              <w:sz w:val="20"/>
              <w:szCs w:val="20"/>
            </w:rPr>
            <w:t>1</w:t>
          </w:r>
          <w:r>
            <w:rPr>
              <w:rFonts w:hint="eastAsia" w:ascii="黑体" w:hAnsi="黑体" w:eastAsia="黑体" w:cs="黑体"/>
              <w:spacing w:val="-2"/>
              <w:sz w:val="20"/>
              <w:szCs w:val="20"/>
              <w:lang w:val="en-US" w:eastAsia="zh-CN"/>
            </w:rPr>
            <w:t>5</w:t>
          </w:r>
          <w:r>
            <w:rPr>
              <w:rFonts w:ascii="黑体" w:hAnsi="黑体" w:eastAsia="黑体" w:cs="黑体"/>
              <w:spacing w:val="-2"/>
              <w:sz w:val="20"/>
              <w:szCs w:val="20"/>
            </w:rPr>
            <w:t xml:space="preserve"> -</w:t>
          </w:r>
          <w:r>
            <w:rPr>
              <w:rFonts w:ascii="黑体" w:hAnsi="黑体" w:eastAsia="黑体" w:cs="黑体"/>
              <w:spacing w:val="-2"/>
              <w:sz w:val="20"/>
              <w:szCs w:val="20"/>
            </w:rPr>
            <w:fldChar w:fldCharType="end"/>
          </w:r>
        </w:p>
        <w:p w14:paraId="21D8CB48">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195" w:line="197" w:lineRule="auto"/>
            <w:ind w:left="6"/>
            <w:jc w:val="both"/>
            <w:textAlignment w:val="baseline"/>
            <w:rPr>
              <w:rFonts w:ascii="黑体" w:hAnsi="黑体" w:eastAsia="黑体" w:cs="黑体"/>
              <w:sz w:val="20"/>
              <w:szCs w:val="20"/>
            </w:rPr>
          </w:pPr>
          <w:bookmarkStart w:id="6" w:name="bookmark11"/>
          <w:bookmarkEnd w:id="6"/>
          <w:r>
            <w:fldChar w:fldCharType="begin"/>
          </w:r>
          <w:r>
            <w:instrText xml:space="preserve"> HYPERLINK \l "bookmark12" </w:instrText>
          </w:r>
          <w:r>
            <w:fldChar w:fldCharType="separate"/>
          </w:r>
          <w:r>
            <w:rPr>
              <w:rFonts w:ascii="黑体" w:hAnsi="黑体" w:eastAsia="黑体" w:cs="黑体"/>
              <w:spacing w:val="-1"/>
              <w:sz w:val="20"/>
              <w:szCs w:val="20"/>
            </w:rPr>
            <w:t>五、商标变更</w:t>
          </w:r>
          <w:r>
            <w:rPr>
              <w:rFonts w:hint="eastAsia" w:ascii="黑体" w:hAnsi="黑体" w:eastAsia="黑体" w:cs="黑体"/>
              <w:spacing w:val="-2"/>
              <w:sz w:val="20"/>
              <w:szCs w:val="20"/>
              <w:lang w:eastAsia="zh-CN"/>
            </w:rPr>
            <w:t>咨询</w:t>
          </w:r>
          <w:r>
            <w:rPr>
              <w:rFonts w:ascii="黑体" w:hAnsi="黑体" w:eastAsia="黑体" w:cs="黑体"/>
              <w:spacing w:val="-40"/>
              <w:sz w:val="20"/>
              <w:szCs w:val="20"/>
            </w:rPr>
            <w:t xml:space="preserve"> </w:t>
          </w:r>
          <w:r>
            <w:rPr>
              <w:rFonts w:ascii="黑体" w:hAnsi="黑体" w:eastAsia="黑体" w:cs="黑体"/>
              <w:sz w:val="20"/>
              <w:szCs w:val="20"/>
            </w:rPr>
            <w:tab/>
          </w:r>
          <w:r>
            <w:rPr>
              <w:rFonts w:ascii="黑体" w:hAnsi="黑体" w:eastAsia="黑体" w:cs="黑体"/>
              <w:spacing w:val="-3"/>
              <w:sz w:val="20"/>
              <w:szCs w:val="20"/>
            </w:rPr>
            <w:t xml:space="preserve"> </w:t>
          </w:r>
          <w:r>
            <w:rPr>
              <w:rFonts w:ascii="黑体" w:hAnsi="黑体" w:eastAsia="黑体" w:cs="黑体"/>
              <w:spacing w:val="-1"/>
              <w:sz w:val="20"/>
              <w:szCs w:val="20"/>
            </w:rPr>
            <w:t>- 2</w:t>
          </w:r>
          <w:r>
            <w:rPr>
              <w:rFonts w:hint="eastAsia" w:ascii="黑体" w:hAnsi="黑体" w:eastAsia="黑体" w:cs="黑体"/>
              <w:spacing w:val="-1"/>
              <w:sz w:val="20"/>
              <w:szCs w:val="20"/>
              <w:lang w:val="en-US" w:eastAsia="zh-CN"/>
            </w:rPr>
            <w:t>1</w:t>
          </w:r>
          <w:r>
            <w:rPr>
              <w:rFonts w:ascii="黑体" w:hAnsi="黑体" w:eastAsia="黑体" w:cs="黑体"/>
              <w:spacing w:val="-1"/>
              <w:sz w:val="20"/>
              <w:szCs w:val="20"/>
            </w:rPr>
            <w:t xml:space="preserve"> -</w:t>
          </w:r>
          <w:r>
            <w:rPr>
              <w:rFonts w:ascii="黑体" w:hAnsi="黑体" w:eastAsia="黑体" w:cs="黑体"/>
              <w:spacing w:val="-1"/>
              <w:sz w:val="20"/>
              <w:szCs w:val="20"/>
            </w:rPr>
            <w:fldChar w:fldCharType="end"/>
          </w:r>
        </w:p>
        <w:p w14:paraId="3948B249">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198" w:line="196" w:lineRule="auto"/>
            <w:ind w:left="7"/>
            <w:jc w:val="both"/>
            <w:textAlignment w:val="baseline"/>
            <w:rPr>
              <w:rFonts w:ascii="黑体" w:hAnsi="黑体" w:eastAsia="黑体" w:cs="黑体"/>
              <w:sz w:val="20"/>
              <w:szCs w:val="20"/>
            </w:rPr>
          </w:pPr>
          <w:bookmarkStart w:id="7" w:name="bookmark13"/>
          <w:bookmarkEnd w:id="7"/>
          <w:r>
            <w:fldChar w:fldCharType="begin"/>
          </w:r>
          <w:r>
            <w:instrText xml:space="preserve"> HYPERLINK \l "bookmark14" </w:instrText>
          </w:r>
          <w:r>
            <w:fldChar w:fldCharType="separate"/>
          </w:r>
          <w:r>
            <w:rPr>
              <w:rFonts w:ascii="黑体" w:hAnsi="黑体" w:eastAsia="黑体" w:cs="黑体"/>
              <w:spacing w:val="-1"/>
              <w:sz w:val="20"/>
              <w:szCs w:val="20"/>
            </w:rPr>
            <w:t>六、商标更正</w:t>
          </w:r>
          <w:r>
            <w:rPr>
              <w:rFonts w:hint="eastAsia" w:ascii="黑体" w:hAnsi="黑体" w:eastAsia="黑体" w:cs="黑体"/>
              <w:spacing w:val="-2"/>
              <w:sz w:val="20"/>
              <w:szCs w:val="20"/>
              <w:lang w:eastAsia="zh-CN"/>
            </w:rPr>
            <w:t>咨询</w:t>
          </w:r>
          <w:r>
            <w:rPr>
              <w:rFonts w:ascii="黑体" w:hAnsi="黑体" w:eastAsia="黑体" w:cs="黑体"/>
              <w:spacing w:val="-41"/>
              <w:sz w:val="20"/>
              <w:szCs w:val="20"/>
            </w:rPr>
            <w:t xml:space="preserve"> </w:t>
          </w:r>
          <w:r>
            <w:rPr>
              <w:rFonts w:ascii="黑体" w:hAnsi="黑体" w:eastAsia="黑体" w:cs="黑体"/>
              <w:sz w:val="20"/>
              <w:szCs w:val="20"/>
            </w:rPr>
            <w:tab/>
          </w:r>
          <w:r>
            <w:rPr>
              <w:rFonts w:ascii="黑体" w:hAnsi="黑体" w:eastAsia="黑体" w:cs="黑体"/>
              <w:spacing w:val="-3"/>
              <w:sz w:val="20"/>
              <w:szCs w:val="20"/>
            </w:rPr>
            <w:t xml:space="preserve"> </w:t>
          </w:r>
          <w:r>
            <w:rPr>
              <w:rFonts w:ascii="黑体" w:hAnsi="黑体" w:eastAsia="黑体" w:cs="黑体"/>
              <w:spacing w:val="-1"/>
              <w:sz w:val="20"/>
              <w:szCs w:val="20"/>
            </w:rPr>
            <w:t xml:space="preserve">- </w:t>
          </w:r>
          <w:r>
            <w:rPr>
              <w:rFonts w:hint="eastAsia" w:ascii="黑体" w:hAnsi="黑体" w:eastAsia="黑体" w:cs="黑体"/>
              <w:spacing w:val="-1"/>
              <w:sz w:val="20"/>
              <w:szCs w:val="20"/>
              <w:lang w:val="en-US" w:eastAsia="zh-CN"/>
            </w:rPr>
            <w:t>25</w:t>
          </w:r>
          <w:r>
            <w:rPr>
              <w:rFonts w:ascii="黑体" w:hAnsi="黑体" w:eastAsia="黑体" w:cs="黑体"/>
              <w:spacing w:val="-1"/>
              <w:sz w:val="20"/>
              <w:szCs w:val="20"/>
            </w:rPr>
            <w:t xml:space="preserve"> -</w:t>
          </w:r>
          <w:r>
            <w:rPr>
              <w:rFonts w:ascii="黑体" w:hAnsi="黑体" w:eastAsia="黑体" w:cs="黑体"/>
              <w:spacing w:val="-1"/>
              <w:sz w:val="20"/>
              <w:szCs w:val="20"/>
            </w:rPr>
            <w:fldChar w:fldCharType="end"/>
          </w:r>
        </w:p>
        <w:p w14:paraId="32D75024">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195" w:line="197" w:lineRule="auto"/>
            <w:jc w:val="both"/>
            <w:textAlignment w:val="baseline"/>
            <w:rPr>
              <w:rFonts w:ascii="黑体" w:hAnsi="黑体" w:eastAsia="黑体" w:cs="黑体"/>
              <w:sz w:val="20"/>
              <w:szCs w:val="20"/>
            </w:rPr>
          </w:pPr>
          <w:bookmarkStart w:id="8" w:name="bookmark15"/>
          <w:bookmarkEnd w:id="8"/>
          <w:r>
            <w:fldChar w:fldCharType="begin"/>
          </w:r>
          <w:r>
            <w:instrText xml:space="preserve"> HYPERLINK \l "bookmark16" </w:instrText>
          </w:r>
          <w:r>
            <w:fldChar w:fldCharType="separate"/>
          </w:r>
          <w:r>
            <w:rPr>
              <w:rFonts w:ascii="黑体" w:hAnsi="黑体" w:eastAsia="黑体" w:cs="黑体"/>
              <w:spacing w:val="-1"/>
              <w:sz w:val="20"/>
              <w:szCs w:val="20"/>
            </w:rPr>
            <w:t>七、地理标志商标注册</w:t>
          </w:r>
          <w:r>
            <w:rPr>
              <w:rFonts w:hint="eastAsia" w:ascii="黑体" w:hAnsi="黑体" w:eastAsia="黑体" w:cs="黑体"/>
              <w:spacing w:val="-2"/>
              <w:sz w:val="20"/>
              <w:szCs w:val="20"/>
              <w:lang w:eastAsia="zh-CN"/>
            </w:rPr>
            <w:t>咨询</w:t>
          </w:r>
          <w:r>
            <w:rPr>
              <w:rFonts w:ascii="黑体" w:hAnsi="黑体" w:eastAsia="黑体" w:cs="黑体"/>
              <w:spacing w:val="-28"/>
              <w:sz w:val="20"/>
              <w:szCs w:val="20"/>
            </w:rPr>
            <w:t xml:space="preserve"> </w:t>
          </w:r>
          <w:r>
            <w:rPr>
              <w:rFonts w:ascii="黑体" w:hAnsi="黑体" w:eastAsia="黑体" w:cs="黑体"/>
              <w:sz w:val="20"/>
              <w:szCs w:val="20"/>
            </w:rPr>
            <w:tab/>
          </w:r>
          <w:r>
            <w:rPr>
              <w:rFonts w:ascii="黑体" w:hAnsi="黑体" w:eastAsia="黑体" w:cs="黑体"/>
              <w:spacing w:val="5"/>
              <w:sz w:val="20"/>
              <w:szCs w:val="20"/>
            </w:rPr>
            <w:t xml:space="preserve">- </w:t>
          </w:r>
          <w:r>
            <w:rPr>
              <w:rFonts w:hint="eastAsia" w:ascii="黑体" w:hAnsi="黑体" w:eastAsia="黑体" w:cs="黑体"/>
              <w:spacing w:val="5"/>
              <w:sz w:val="20"/>
              <w:szCs w:val="20"/>
              <w:lang w:val="en-US" w:eastAsia="zh-CN"/>
            </w:rPr>
            <w:t>28</w:t>
          </w:r>
          <w:r>
            <w:rPr>
              <w:rFonts w:ascii="黑体" w:hAnsi="黑体" w:eastAsia="黑体" w:cs="黑体"/>
              <w:sz w:val="20"/>
              <w:szCs w:val="20"/>
            </w:rPr>
            <w:t xml:space="preserve"> </w:t>
          </w:r>
          <w:r>
            <w:rPr>
              <w:rFonts w:ascii="黑体" w:hAnsi="黑体" w:eastAsia="黑体" w:cs="黑体"/>
              <w:spacing w:val="5"/>
              <w:sz w:val="20"/>
              <w:szCs w:val="20"/>
            </w:rPr>
            <w:t>-</w:t>
          </w:r>
          <w:r>
            <w:rPr>
              <w:rFonts w:ascii="黑体" w:hAnsi="黑体" w:eastAsia="黑体" w:cs="黑体"/>
              <w:spacing w:val="5"/>
              <w:sz w:val="20"/>
              <w:szCs w:val="20"/>
            </w:rPr>
            <w:fldChar w:fldCharType="end"/>
          </w:r>
          <w:bookmarkStart w:id="9" w:name="bookmark17"/>
          <w:bookmarkEnd w:id="9"/>
        </w:p>
        <w:p w14:paraId="63D9980C">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195" w:line="197" w:lineRule="auto"/>
            <w:ind w:left="5"/>
            <w:jc w:val="both"/>
            <w:textAlignment w:val="baseline"/>
            <w:rPr>
              <w:rFonts w:ascii="黑体" w:hAnsi="黑体" w:eastAsia="黑体" w:cs="黑体"/>
              <w:sz w:val="20"/>
              <w:szCs w:val="20"/>
            </w:rPr>
          </w:pPr>
          <w:bookmarkStart w:id="10" w:name="bookmark19"/>
          <w:bookmarkEnd w:id="10"/>
          <w:r>
            <w:fldChar w:fldCharType="begin"/>
          </w:r>
          <w:r>
            <w:instrText xml:space="preserve"> HYPERLINK \l "bookmark20" </w:instrText>
          </w:r>
          <w:r>
            <w:fldChar w:fldCharType="separate"/>
          </w:r>
          <w:r>
            <w:rPr>
              <w:rFonts w:hint="eastAsia" w:ascii="黑体" w:hAnsi="黑体" w:eastAsia="黑体" w:cs="黑体"/>
              <w:spacing w:val="-1"/>
              <w:sz w:val="20"/>
              <w:szCs w:val="20"/>
              <w:lang w:eastAsia="zh-CN"/>
            </w:rPr>
            <w:t>八</w:t>
          </w:r>
          <w:r>
            <w:rPr>
              <w:rFonts w:ascii="黑体" w:hAnsi="黑体" w:eastAsia="黑体" w:cs="黑体"/>
              <w:spacing w:val="-1"/>
              <w:sz w:val="20"/>
              <w:szCs w:val="20"/>
            </w:rPr>
            <w:t>、地理标志专用标志使用申请</w:t>
          </w:r>
          <w:r>
            <w:rPr>
              <w:rFonts w:ascii="黑体" w:hAnsi="黑体" w:eastAsia="黑体" w:cs="黑体"/>
              <w:spacing w:val="-33"/>
              <w:sz w:val="20"/>
              <w:szCs w:val="20"/>
            </w:rPr>
            <w:t xml:space="preserve"> </w:t>
          </w:r>
          <w:r>
            <w:rPr>
              <w:rFonts w:ascii="黑体" w:hAnsi="黑体" w:eastAsia="黑体" w:cs="黑体"/>
              <w:sz w:val="20"/>
              <w:szCs w:val="20"/>
            </w:rPr>
            <w:tab/>
          </w:r>
          <w:r>
            <w:rPr>
              <w:rFonts w:ascii="黑体" w:hAnsi="黑体" w:eastAsia="黑体" w:cs="黑体"/>
              <w:spacing w:val="-51"/>
              <w:sz w:val="20"/>
              <w:szCs w:val="20"/>
            </w:rPr>
            <w:t xml:space="preserve"> </w:t>
          </w:r>
          <w:r>
            <w:rPr>
              <w:rFonts w:ascii="黑体" w:hAnsi="黑体" w:eastAsia="黑体" w:cs="黑体"/>
              <w:sz w:val="20"/>
              <w:szCs w:val="20"/>
            </w:rPr>
            <w:t xml:space="preserve">- </w:t>
          </w:r>
          <w:r>
            <w:rPr>
              <w:rFonts w:hint="eastAsia" w:ascii="黑体" w:hAnsi="黑体" w:eastAsia="黑体" w:cs="黑体"/>
              <w:sz w:val="20"/>
              <w:szCs w:val="20"/>
              <w:lang w:val="en-US" w:eastAsia="zh-CN"/>
            </w:rPr>
            <w:t>3</w:t>
          </w:r>
          <w:r>
            <w:rPr>
              <w:rFonts w:ascii="黑体" w:hAnsi="黑体" w:eastAsia="黑体" w:cs="黑体"/>
              <w:sz w:val="20"/>
              <w:szCs w:val="20"/>
            </w:rPr>
            <w:t>1</w:t>
          </w:r>
          <w:r>
            <w:rPr>
              <w:rFonts w:ascii="黑体" w:hAnsi="黑体" w:eastAsia="黑体" w:cs="黑体"/>
              <w:spacing w:val="-3"/>
              <w:sz w:val="20"/>
              <w:szCs w:val="20"/>
            </w:rPr>
            <w:t xml:space="preserve"> </w:t>
          </w:r>
          <w:r>
            <w:rPr>
              <w:rFonts w:ascii="黑体" w:hAnsi="黑体" w:eastAsia="黑体" w:cs="黑体"/>
              <w:sz w:val="20"/>
              <w:szCs w:val="20"/>
            </w:rPr>
            <w:t>-</w:t>
          </w:r>
          <w:r>
            <w:rPr>
              <w:rFonts w:ascii="黑体" w:hAnsi="黑体" w:eastAsia="黑体" w:cs="黑体"/>
              <w:sz w:val="20"/>
              <w:szCs w:val="20"/>
            </w:rPr>
            <w:fldChar w:fldCharType="end"/>
          </w:r>
        </w:p>
        <w:p w14:paraId="56FF8714">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197" w:line="197" w:lineRule="auto"/>
            <w:ind w:left="3"/>
            <w:jc w:val="both"/>
            <w:textAlignment w:val="baseline"/>
            <w:rPr>
              <w:rFonts w:ascii="黑体" w:hAnsi="黑体" w:eastAsia="黑体" w:cs="黑体"/>
              <w:sz w:val="20"/>
              <w:szCs w:val="20"/>
            </w:rPr>
          </w:pPr>
          <w:bookmarkStart w:id="11" w:name="bookmark21"/>
          <w:bookmarkEnd w:id="11"/>
          <w:r>
            <w:fldChar w:fldCharType="begin"/>
          </w:r>
          <w:r>
            <w:instrText xml:space="preserve"> HYPERLINK \l "bookmark22" </w:instrText>
          </w:r>
          <w:r>
            <w:fldChar w:fldCharType="separate"/>
          </w:r>
          <w:r>
            <w:rPr>
              <w:rFonts w:hint="eastAsia" w:eastAsia="宋体"/>
              <w:lang w:eastAsia="zh-CN"/>
            </w:rPr>
            <w:t>九</w:t>
          </w:r>
          <w:r>
            <w:rPr>
              <w:rFonts w:ascii="黑体" w:hAnsi="黑体" w:eastAsia="黑体" w:cs="黑体"/>
              <w:spacing w:val="-1"/>
              <w:sz w:val="20"/>
              <w:szCs w:val="20"/>
            </w:rPr>
            <w:t>、注册商标转让或移转</w:t>
          </w:r>
          <w:r>
            <w:rPr>
              <w:rFonts w:hint="eastAsia" w:ascii="黑体" w:hAnsi="黑体" w:eastAsia="黑体" w:cs="黑体"/>
              <w:spacing w:val="-2"/>
              <w:sz w:val="20"/>
              <w:szCs w:val="20"/>
              <w:lang w:eastAsia="zh-CN"/>
            </w:rPr>
            <w:t>咨询</w:t>
          </w:r>
          <w:r>
            <w:rPr>
              <w:rFonts w:ascii="黑体" w:hAnsi="黑体" w:eastAsia="黑体" w:cs="黑体"/>
              <w:spacing w:val="-31"/>
              <w:sz w:val="20"/>
              <w:szCs w:val="20"/>
            </w:rPr>
            <w:t xml:space="preserve"> </w:t>
          </w:r>
          <w:r>
            <w:rPr>
              <w:rFonts w:ascii="黑体" w:hAnsi="黑体" w:eastAsia="黑体" w:cs="黑体"/>
              <w:sz w:val="20"/>
              <w:szCs w:val="20"/>
            </w:rPr>
            <w:tab/>
          </w:r>
          <w:r>
            <w:rPr>
              <w:rFonts w:ascii="黑体" w:hAnsi="黑体" w:eastAsia="黑体" w:cs="黑体"/>
              <w:spacing w:val="-62"/>
              <w:sz w:val="20"/>
              <w:szCs w:val="20"/>
            </w:rPr>
            <w:t xml:space="preserve"> </w:t>
          </w:r>
          <w:r>
            <w:rPr>
              <w:rFonts w:ascii="黑体" w:hAnsi="黑体" w:eastAsia="黑体" w:cs="黑体"/>
              <w:sz w:val="20"/>
              <w:szCs w:val="20"/>
            </w:rPr>
            <w:t xml:space="preserve">- </w:t>
          </w:r>
          <w:r>
            <w:rPr>
              <w:rFonts w:hint="eastAsia" w:ascii="黑体" w:hAnsi="黑体" w:eastAsia="黑体" w:cs="黑体"/>
              <w:sz w:val="20"/>
              <w:szCs w:val="20"/>
              <w:lang w:val="en-US" w:eastAsia="zh-CN"/>
            </w:rPr>
            <w:t>3</w:t>
          </w:r>
          <w:r>
            <w:rPr>
              <w:rFonts w:ascii="黑体" w:hAnsi="黑体" w:eastAsia="黑体" w:cs="黑体"/>
              <w:sz w:val="20"/>
              <w:szCs w:val="20"/>
            </w:rPr>
            <w:t>4</w:t>
          </w:r>
          <w:r>
            <w:rPr>
              <w:rFonts w:ascii="黑体" w:hAnsi="黑体" w:eastAsia="黑体" w:cs="黑体"/>
              <w:spacing w:val="-3"/>
              <w:sz w:val="20"/>
              <w:szCs w:val="20"/>
            </w:rPr>
            <w:t xml:space="preserve"> </w:t>
          </w:r>
          <w:r>
            <w:rPr>
              <w:rFonts w:ascii="黑体" w:hAnsi="黑体" w:eastAsia="黑体" w:cs="黑体"/>
              <w:sz w:val="20"/>
              <w:szCs w:val="20"/>
            </w:rPr>
            <w:t>-</w:t>
          </w:r>
          <w:r>
            <w:rPr>
              <w:rFonts w:ascii="黑体" w:hAnsi="黑体" w:eastAsia="黑体" w:cs="黑体"/>
              <w:sz w:val="20"/>
              <w:szCs w:val="20"/>
            </w:rPr>
            <w:fldChar w:fldCharType="end"/>
          </w:r>
        </w:p>
        <w:p w14:paraId="24AE5981">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195" w:line="196" w:lineRule="auto"/>
            <w:ind w:left="3"/>
            <w:jc w:val="both"/>
            <w:textAlignment w:val="baseline"/>
            <w:rPr>
              <w:rFonts w:ascii="黑体" w:hAnsi="黑体" w:eastAsia="黑体" w:cs="黑体"/>
              <w:sz w:val="20"/>
              <w:szCs w:val="20"/>
            </w:rPr>
          </w:pPr>
          <w:bookmarkStart w:id="12" w:name="bookmark23"/>
          <w:bookmarkEnd w:id="12"/>
          <w:r>
            <w:fldChar w:fldCharType="begin"/>
          </w:r>
          <w:r>
            <w:instrText xml:space="preserve"> HYPERLINK \l "bookmark24" </w:instrText>
          </w:r>
          <w:r>
            <w:fldChar w:fldCharType="separate"/>
          </w:r>
          <w:r>
            <w:rPr>
              <w:rFonts w:ascii="黑体" w:hAnsi="黑体" w:eastAsia="黑体" w:cs="黑体"/>
              <w:spacing w:val="-1"/>
              <w:sz w:val="20"/>
              <w:szCs w:val="20"/>
            </w:rPr>
            <w:t>十、注册商标续展</w:t>
          </w:r>
          <w:r>
            <w:rPr>
              <w:rFonts w:hint="eastAsia" w:ascii="黑体" w:hAnsi="黑体" w:eastAsia="黑体" w:cs="黑体"/>
              <w:spacing w:val="-2"/>
              <w:sz w:val="20"/>
              <w:szCs w:val="20"/>
              <w:lang w:eastAsia="zh-CN"/>
            </w:rPr>
            <w:t>咨询</w:t>
          </w:r>
          <w:r>
            <w:rPr>
              <w:rFonts w:ascii="黑体" w:hAnsi="黑体" w:eastAsia="黑体" w:cs="黑体"/>
              <w:spacing w:val="-34"/>
              <w:sz w:val="20"/>
              <w:szCs w:val="20"/>
            </w:rPr>
            <w:t xml:space="preserve"> </w:t>
          </w:r>
          <w:r>
            <w:rPr>
              <w:rFonts w:ascii="黑体" w:hAnsi="黑体" w:eastAsia="黑体" w:cs="黑体"/>
              <w:sz w:val="20"/>
              <w:szCs w:val="20"/>
            </w:rPr>
            <w:tab/>
          </w:r>
          <w:r>
            <w:rPr>
              <w:rFonts w:ascii="黑体" w:hAnsi="黑体" w:eastAsia="黑体" w:cs="黑体"/>
              <w:spacing w:val="5"/>
              <w:sz w:val="20"/>
              <w:szCs w:val="20"/>
            </w:rPr>
            <w:t>-</w:t>
          </w:r>
          <w:r>
            <w:rPr>
              <w:rFonts w:ascii="黑体" w:hAnsi="黑体" w:eastAsia="黑体" w:cs="黑体"/>
              <w:spacing w:val="-1"/>
              <w:sz w:val="20"/>
              <w:szCs w:val="20"/>
            </w:rPr>
            <w:t xml:space="preserve"> </w:t>
          </w:r>
          <w:r>
            <w:rPr>
              <w:rFonts w:hint="eastAsia" w:ascii="黑体" w:hAnsi="黑体" w:eastAsia="黑体" w:cs="黑体"/>
              <w:spacing w:val="5"/>
              <w:sz w:val="20"/>
              <w:szCs w:val="20"/>
              <w:lang w:val="en-US" w:eastAsia="zh-CN"/>
            </w:rPr>
            <w:t>37</w:t>
          </w:r>
          <w:r>
            <w:rPr>
              <w:rFonts w:ascii="黑体" w:hAnsi="黑体" w:eastAsia="黑体" w:cs="黑体"/>
              <w:spacing w:val="-3"/>
              <w:sz w:val="20"/>
              <w:szCs w:val="20"/>
            </w:rPr>
            <w:t xml:space="preserve"> </w:t>
          </w:r>
          <w:r>
            <w:rPr>
              <w:rFonts w:ascii="黑体" w:hAnsi="黑体" w:eastAsia="黑体" w:cs="黑体"/>
              <w:spacing w:val="5"/>
              <w:sz w:val="20"/>
              <w:szCs w:val="20"/>
            </w:rPr>
            <w:t>-</w:t>
          </w:r>
          <w:r>
            <w:rPr>
              <w:rFonts w:ascii="黑体" w:hAnsi="黑体" w:eastAsia="黑体" w:cs="黑体"/>
              <w:spacing w:val="5"/>
              <w:sz w:val="20"/>
              <w:szCs w:val="20"/>
            </w:rPr>
            <w:fldChar w:fldCharType="end"/>
          </w:r>
        </w:p>
        <w:p w14:paraId="6A151F14">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196" w:line="230" w:lineRule="auto"/>
            <w:ind w:left="3"/>
            <w:jc w:val="both"/>
            <w:textAlignment w:val="baseline"/>
            <w:rPr>
              <w:rFonts w:ascii="黑体" w:hAnsi="黑体" w:eastAsia="黑体" w:cs="黑体"/>
              <w:sz w:val="20"/>
              <w:szCs w:val="20"/>
            </w:rPr>
          </w:pPr>
          <w:bookmarkStart w:id="13" w:name="bookmark25"/>
          <w:bookmarkEnd w:id="13"/>
          <w:r>
            <w:fldChar w:fldCharType="begin"/>
          </w:r>
          <w:r>
            <w:instrText xml:space="preserve"> HYPERLINK \l "bookmark26" </w:instrText>
          </w:r>
          <w:r>
            <w:fldChar w:fldCharType="separate"/>
          </w:r>
          <w:r>
            <w:rPr>
              <w:rFonts w:ascii="黑体" w:hAnsi="黑体" w:eastAsia="黑体" w:cs="黑体"/>
              <w:spacing w:val="-1"/>
              <w:sz w:val="20"/>
              <w:szCs w:val="20"/>
            </w:rPr>
            <w:t>十</w:t>
          </w:r>
          <w:r>
            <w:rPr>
              <w:rFonts w:hint="eastAsia" w:ascii="黑体" w:hAnsi="黑体" w:eastAsia="黑体" w:cs="黑体"/>
              <w:spacing w:val="-1"/>
              <w:sz w:val="20"/>
              <w:szCs w:val="20"/>
              <w:lang w:eastAsia="zh-CN"/>
            </w:rPr>
            <w:t>一</w:t>
          </w:r>
          <w:r>
            <w:rPr>
              <w:rFonts w:ascii="黑体" w:hAnsi="黑体" w:eastAsia="黑体" w:cs="黑体"/>
              <w:spacing w:val="-1"/>
              <w:sz w:val="20"/>
              <w:szCs w:val="20"/>
            </w:rPr>
            <w:t>、注册商标使用许可备案</w:t>
          </w:r>
          <w:r>
            <w:rPr>
              <w:rFonts w:hint="eastAsia" w:ascii="黑体" w:hAnsi="黑体" w:eastAsia="黑体" w:cs="黑体"/>
              <w:spacing w:val="-2"/>
              <w:sz w:val="20"/>
              <w:szCs w:val="20"/>
              <w:lang w:eastAsia="zh-CN"/>
            </w:rPr>
            <w:t>咨询</w:t>
          </w:r>
          <w:r>
            <w:rPr>
              <w:rFonts w:ascii="黑体" w:hAnsi="黑体" w:eastAsia="黑体" w:cs="黑体"/>
              <w:spacing w:val="-31"/>
              <w:sz w:val="20"/>
              <w:szCs w:val="20"/>
            </w:rPr>
            <w:t xml:space="preserve"> </w:t>
          </w:r>
          <w:r>
            <w:rPr>
              <w:rFonts w:ascii="黑体" w:hAnsi="黑体" w:eastAsia="黑体" w:cs="黑体"/>
              <w:sz w:val="20"/>
              <w:szCs w:val="20"/>
            </w:rPr>
            <w:tab/>
          </w:r>
          <w:r>
            <w:rPr>
              <w:rFonts w:ascii="黑体" w:hAnsi="黑体" w:eastAsia="黑体" w:cs="黑体"/>
              <w:spacing w:val="-62"/>
              <w:sz w:val="20"/>
              <w:szCs w:val="20"/>
            </w:rPr>
            <w:t xml:space="preserve"> </w:t>
          </w:r>
          <w:r>
            <w:rPr>
              <w:rFonts w:ascii="黑体" w:hAnsi="黑体" w:eastAsia="黑体" w:cs="黑体"/>
              <w:sz w:val="20"/>
              <w:szCs w:val="20"/>
            </w:rPr>
            <w:t xml:space="preserve">- </w:t>
          </w:r>
          <w:r>
            <w:rPr>
              <w:rFonts w:hint="eastAsia" w:ascii="黑体" w:hAnsi="黑体" w:eastAsia="黑体" w:cs="黑体"/>
              <w:sz w:val="20"/>
              <w:szCs w:val="20"/>
              <w:lang w:val="en-US" w:eastAsia="zh-CN"/>
            </w:rPr>
            <w:t>40</w:t>
          </w:r>
          <w:r>
            <w:rPr>
              <w:rFonts w:ascii="黑体" w:hAnsi="黑体" w:eastAsia="黑体" w:cs="黑体"/>
              <w:spacing w:val="-3"/>
              <w:sz w:val="20"/>
              <w:szCs w:val="20"/>
            </w:rPr>
            <w:t xml:space="preserve"> </w:t>
          </w:r>
          <w:r>
            <w:rPr>
              <w:rFonts w:ascii="黑体" w:hAnsi="黑体" w:eastAsia="黑体" w:cs="黑体"/>
              <w:sz w:val="20"/>
              <w:szCs w:val="20"/>
            </w:rPr>
            <w:t>-</w:t>
          </w:r>
          <w:r>
            <w:rPr>
              <w:rFonts w:ascii="黑体" w:hAnsi="黑体" w:eastAsia="黑体" w:cs="黑体"/>
              <w:sz w:val="20"/>
              <w:szCs w:val="20"/>
            </w:rPr>
            <w:fldChar w:fldCharType="end"/>
          </w:r>
        </w:p>
        <w:p w14:paraId="790A9F07">
          <w:pPr>
            <w:pStyle w:val="2"/>
            <w:keepNext w:val="0"/>
            <w:keepLines w:val="0"/>
            <w:pageBreakBefore w:val="0"/>
            <w:widowControl/>
            <w:kinsoku/>
            <w:wordWrap/>
            <w:overflowPunct/>
            <w:topLinePunct w:val="0"/>
            <w:autoSpaceDE w:val="0"/>
            <w:autoSpaceDN w:val="0"/>
            <w:bidi w:val="0"/>
            <w:adjustRightInd w:val="0"/>
            <w:snapToGrid w:val="0"/>
            <w:spacing w:line="365" w:lineRule="auto"/>
            <w:jc w:val="both"/>
            <w:textAlignment w:val="baseline"/>
          </w:pPr>
        </w:p>
        <w:p w14:paraId="0617B012">
          <w:pPr>
            <w:keepNext w:val="0"/>
            <w:keepLines w:val="0"/>
            <w:pageBreakBefore w:val="0"/>
            <w:widowControl/>
            <w:kinsoku/>
            <w:wordWrap/>
            <w:overflowPunct/>
            <w:topLinePunct w:val="0"/>
            <w:autoSpaceDE w:val="0"/>
            <w:autoSpaceDN w:val="0"/>
            <w:bidi w:val="0"/>
            <w:adjustRightInd w:val="0"/>
            <w:snapToGrid w:val="0"/>
            <w:spacing w:before="65" w:line="229" w:lineRule="auto"/>
            <w:ind w:left="3510"/>
            <w:jc w:val="both"/>
            <w:textAlignment w:val="baseline"/>
            <w:rPr>
              <w:rFonts w:ascii="黑体" w:hAnsi="黑体" w:eastAsia="黑体" w:cs="黑体"/>
              <w:sz w:val="20"/>
              <w:szCs w:val="20"/>
            </w:rPr>
          </w:pPr>
          <w:bookmarkStart w:id="14" w:name="bookmark27"/>
          <w:bookmarkEnd w:id="14"/>
          <w:r>
            <w:fldChar w:fldCharType="begin"/>
          </w:r>
          <w:r>
            <w:instrText xml:space="preserve"> HYPERLINK \l "bookmark27" </w:instrText>
          </w:r>
          <w:r>
            <w:fldChar w:fldCharType="separate"/>
          </w:r>
          <w:r>
            <w:rPr>
              <w:rFonts w:ascii="黑体" w:hAnsi="黑体" w:eastAsia="黑体" w:cs="黑体"/>
              <w:spacing w:val="7"/>
              <w:sz w:val="20"/>
              <w:szCs w:val="20"/>
            </w:rPr>
            <w:t>知识产权服务相关</w:t>
          </w:r>
          <w:r>
            <w:rPr>
              <w:rFonts w:ascii="黑体" w:hAnsi="黑体" w:eastAsia="黑体" w:cs="黑体"/>
              <w:spacing w:val="7"/>
              <w:sz w:val="20"/>
              <w:szCs w:val="20"/>
            </w:rPr>
            <w:fldChar w:fldCharType="end"/>
          </w:r>
        </w:p>
        <w:p w14:paraId="37207FCF">
          <w:pPr>
            <w:pStyle w:val="2"/>
            <w:keepNext w:val="0"/>
            <w:keepLines w:val="0"/>
            <w:pageBreakBefore w:val="0"/>
            <w:widowControl/>
            <w:kinsoku/>
            <w:wordWrap/>
            <w:overflowPunct/>
            <w:topLinePunct w:val="0"/>
            <w:autoSpaceDE w:val="0"/>
            <w:autoSpaceDN w:val="0"/>
            <w:bidi w:val="0"/>
            <w:adjustRightInd w:val="0"/>
            <w:snapToGrid w:val="0"/>
            <w:spacing w:line="274" w:lineRule="auto"/>
            <w:jc w:val="both"/>
            <w:textAlignment w:val="baseline"/>
          </w:pPr>
        </w:p>
        <w:p w14:paraId="1A3572A3">
          <w:pPr>
            <w:pStyle w:val="2"/>
            <w:keepNext w:val="0"/>
            <w:keepLines w:val="0"/>
            <w:pageBreakBefore w:val="0"/>
            <w:widowControl/>
            <w:kinsoku/>
            <w:wordWrap/>
            <w:overflowPunct/>
            <w:topLinePunct w:val="0"/>
            <w:autoSpaceDE w:val="0"/>
            <w:autoSpaceDN w:val="0"/>
            <w:bidi w:val="0"/>
            <w:adjustRightInd w:val="0"/>
            <w:snapToGrid w:val="0"/>
            <w:spacing w:line="275" w:lineRule="auto"/>
            <w:jc w:val="both"/>
            <w:textAlignment w:val="baseline"/>
          </w:pPr>
        </w:p>
        <w:p w14:paraId="47D9D4AF">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194" w:line="196" w:lineRule="auto"/>
            <w:ind w:left="3"/>
            <w:jc w:val="both"/>
            <w:textAlignment w:val="baseline"/>
            <w:rPr>
              <w:rFonts w:ascii="黑体" w:hAnsi="黑体" w:eastAsia="黑体" w:cs="黑体"/>
              <w:sz w:val="20"/>
              <w:szCs w:val="20"/>
            </w:rPr>
          </w:pPr>
          <w:bookmarkStart w:id="15" w:name="bookmark28"/>
          <w:bookmarkEnd w:id="15"/>
          <w:bookmarkStart w:id="16" w:name="bookmark30"/>
          <w:bookmarkEnd w:id="16"/>
          <w:r>
            <w:fldChar w:fldCharType="begin"/>
          </w:r>
          <w:r>
            <w:instrText xml:space="preserve"> HYPERLINK \l "bookmark31" </w:instrText>
          </w:r>
          <w:r>
            <w:fldChar w:fldCharType="separate"/>
          </w:r>
          <w:r>
            <w:rPr>
              <w:rFonts w:ascii="黑体" w:hAnsi="黑体" w:eastAsia="黑体" w:cs="黑体"/>
              <w:spacing w:val="-1"/>
              <w:sz w:val="20"/>
              <w:szCs w:val="20"/>
            </w:rPr>
            <w:t>十</w:t>
          </w:r>
          <w:r>
            <w:rPr>
              <w:rFonts w:hint="eastAsia" w:ascii="黑体" w:hAnsi="黑体" w:eastAsia="黑体" w:cs="黑体"/>
              <w:spacing w:val="-1"/>
              <w:sz w:val="20"/>
              <w:szCs w:val="20"/>
              <w:lang w:eastAsia="zh-CN"/>
            </w:rPr>
            <w:t>二</w:t>
          </w:r>
          <w:r>
            <w:rPr>
              <w:rFonts w:ascii="黑体" w:hAnsi="黑体" w:eastAsia="黑体" w:cs="黑体"/>
              <w:spacing w:val="-1"/>
              <w:sz w:val="20"/>
              <w:szCs w:val="20"/>
            </w:rPr>
            <w:t>、知识产权法律事务咨询和维权援助</w:t>
          </w:r>
          <w:r>
            <w:rPr>
              <w:rFonts w:ascii="黑体" w:hAnsi="黑体" w:eastAsia="黑体" w:cs="黑体"/>
              <w:spacing w:val="-25"/>
              <w:sz w:val="20"/>
              <w:szCs w:val="20"/>
            </w:rPr>
            <w:t xml:space="preserve"> </w:t>
          </w:r>
          <w:r>
            <w:rPr>
              <w:rFonts w:ascii="黑体" w:hAnsi="黑体" w:eastAsia="黑体" w:cs="黑体"/>
              <w:sz w:val="20"/>
              <w:szCs w:val="20"/>
            </w:rPr>
            <w:tab/>
          </w:r>
          <w:r>
            <w:rPr>
              <w:rFonts w:ascii="黑体" w:hAnsi="黑体" w:eastAsia="黑体" w:cs="黑体"/>
              <w:spacing w:val="-9"/>
              <w:sz w:val="20"/>
              <w:szCs w:val="20"/>
            </w:rPr>
            <w:t xml:space="preserve"> </w:t>
          </w:r>
          <w:r>
            <w:rPr>
              <w:rFonts w:ascii="黑体" w:hAnsi="黑体" w:eastAsia="黑体" w:cs="黑体"/>
              <w:spacing w:val="-1"/>
              <w:sz w:val="20"/>
              <w:szCs w:val="20"/>
            </w:rPr>
            <w:t xml:space="preserve">- </w:t>
          </w:r>
          <w:r>
            <w:rPr>
              <w:rFonts w:hint="eastAsia" w:ascii="黑体" w:hAnsi="黑体" w:eastAsia="黑体" w:cs="黑体"/>
              <w:spacing w:val="-1"/>
              <w:sz w:val="20"/>
              <w:szCs w:val="20"/>
              <w:lang w:val="en-US" w:eastAsia="zh-CN"/>
            </w:rPr>
            <w:t>43</w:t>
          </w:r>
          <w:r>
            <w:rPr>
              <w:rFonts w:ascii="黑体" w:hAnsi="黑体" w:eastAsia="黑体" w:cs="黑体"/>
              <w:spacing w:val="-1"/>
              <w:sz w:val="20"/>
              <w:szCs w:val="20"/>
            </w:rPr>
            <w:t xml:space="preserve"> -</w:t>
          </w:r>
          <w:r>
            <w:rPr>
              <w:rFonts w:ascii="黑体" w:hAnsi="黑体" w:eastAsia="黑体" w:cs="黑体"/>
              <w:spacing w:val="-1"/>
              <w:sz w:val="20"/>
              <w:szCs w:val="20"/>
            </w:rPr>
            <w:fldChar w:fldCharType="end"/>
          </w:r>
        </w:p>
        <w:p w14:paraId="290BFE73">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196" w:line="197" w:lineRule="auto"/>
            <w:ind w:left="3"/>
            <w:jc w:val="both"/>
            <w:textAlignment w:val="baseline"/>
            <w:rPr>
              <w:rFonts w:ascii="黑体" w:hAnsi="黑体" w:eastAsia="黑体" w:cs="黑体"/>
              <w:sz w:val="20"/>
              <w:szCs w:val="20"/>
            </w:rPr>
          </w:pPr>
          <w:bookmarkStart w:id="17" w:name="bookmark32"/>
          <w:bookmarkEnd w:id="17"/>
          <w:r>
            <w:fldChar w:fldCharType="begin"/>
          </w:r>
          <w:r>
            <w:instrText xml:space="preserve"> HYPERLINK \l "bookmark33" </w:instrText>
          </w:r>
          <w:r>
            <w:fldChar w:fldCharType="separate"/>
          </w:r>
          <w:r>
            <w:rPr>
              <w:rFonts w:ascii="黑体" w:hAnsi="黑体" w:eastAsia="黑体" w:cs="黑体"/>
              <w:spacing w:val="-1"/>
              <w:sz w:val="20"/>
              <w:szCs w:val="20"/>
            </w:rPr>
            <w:t>十</w:t>
          </w:r>
          <w:r>
            <w:rPr>
              <w:rFonts w:hint="eastAsia" w:ascii="黑体" w:hAnsi="黑体" w:eastAsia="黑体" w:cs="黑体"/>
              <w:spacing w:val="-1"/>
              <w:sz w:val="20"/>
              <w:szCs w:val="20"/>
              <w:lang w:eastAsia="zh-CN"/>
            </w:rPr>
            <w:t>三</w:t>
          </w:r>
          <w:r>
            <w:rPr>
              <w:rFonts w:ascii="黑体" w:hAnsi="黑体" w:eastAsia="黑体" w:cs="黑体"/>
              <w:spacing w:val="-1"/>
              <w:sz w:val="20"/>
              <w:szCs w:val="20"/>
            </w:rPr>
            <w:t>、海外知识产权维权援助服务</w:t>
          </w:r>
          <w:r>
            <w:rPr>
              <w:rFonts w:ascii="黑体" w:hAnsi="黑体" w:eastAsia="黑体" w:cs="黑体"/>
              <w:spacing w:val="-28"/>
              <w:sz w:val="20"/>
              <w:szCs w:val="20"/>
            </w:rPr>
            <w:t xml:space="preserve"> </w:t>
          </w:r>
          <w:r>
            <w:rPr>
              <w:rFonts w:ascii="黑体" w:hAnsi="黑体" w:eastAsia="黑体" w:cs="黑体"/>
              <w:sz w:val="20"/>
              <w:szCs w:val="20"/>
            </w:rPr>
            <w:tab/>
          </w:r>
          <w:r>
            <w:rPr>
              <w:rFonts w:ascii="黑体" w:hAnsi="黑体" w:eastAsia="黑体" w:cs="黑体"/>
              <w:spacing w:val="-39"/>
              <w:sz w:val="20"/>
              <w:szCs w:val="20"/>
            </w:rPr>
            <w:t xml:space="preserve"> </w:t>
          </w:r>
          <w:r>
            <w:rPr>
              <w:rFonts w:ascii="黑体" w:hAnsi="黑体" w:eastAsia="黑体" w:cs="黑体"/>
              <w:spacing w:val="-1"/>
              <w:sz w:val="20"/>
              <w:szCs w:val="20"/>
            </w:rPr>
            <w:t xml:space="preserve">- </w:t>
          </w:r>
          <w:r>
            <w:rPr>
              <w:rFonts w:hint="eastAsia" w:ascii="黑体" w:hAnsi="黑体" w:eastAsia="黑体" w:cs="黑体"/>
              <w:spacing w:val="-1"/>
              <w:sz w:val="20"/>
              <w:szCs w:val="20"/>
              <w:lang w:val="en-US" w:eastAsia="zh-CN"/>
            </w:rPr>
            <w:t>46</w:t>
          </w:r>
          <w:r>
            <w:rPr>
              <w:rFonts w:ascii="黑体" w:hAnsi="黑体" w:eastAsia="黑体" w:cs="黑体"/>
              <w:spacing w:val="-1"/>
              <w:sz w:val="20"/>
              <w:szCs w:val="20"/>
            </w:rPr>
            <w:t xml:space="preserve"> -</w:t>
          </w:r>
          <w:r>
            <w:rPr>
              <w:rFonts w:ascii="黑体" w:hAnsi="黑体" w:eastAsia="黑体" w:cs="黑体"/>
              <w:spacing w:val="-1"/>
              <w:sz w:val="20"/>
              <w:szCs w:val="20"/>
            </w:rPr>
            <w:fldChar w:fldCharType="end"/>
          </w:r>
        </w:p>
        <w:p w14:paraId="6451EF35">
          <w:pPr>
            <w:keepNext w:val="0"/>
            <w:keepLines w:val="0"/>
            <w:pageBreakBefore w:val="0"/>
            <w:widowControl/>
            <w:tabs>
              <w:tab w:val="right" w:leader="dot" w:pos="8845"/>
            </w:tabs>
            <w:kinsoku/>
            <w:wordWrap/>
            <w:overflowPunct/>
            <w:topLinePunct w:val="0"/>
            <w:autoSpaceDE w:val="0"/>
            <w:autoSpaceDN w:val="0"/>
            <w:bidi w:val="0"/>
            <w:adjustRightInd w:val="0"/>
            <w:snapToGrid w:val="0"/>
            <w:spacing w:before="195" w:line="229" w:lineRule="auto"/>
            <w:ind w:left="3"/>
            <w:jc w:val="both"/>
            <w:textAlignment w:val="baseline"/>
            <w:rPr>
              <w:rFonts w:ascii="黑体" w:hAnsi="黑体" w:eastAsia="黑体" w:cs="黑体"/>
              <w:sz w:val="20"/>
              <w:szCs w:val="20"/>
            </w:rPr>
            <w:sectPr>
              <w:pgSz w:w="11910" w:h="16840"/>
              <w:pgMar w:top="1431" w:right="1377" w:bottom="0" w:left="1687" w:header="0" w:footer="0" w:gutter="0"/>
              <w:cols w:space="720" w:num="1"/>
            </w:sectPr>
          </w:pPr>
          <w:bookmarkStart w:id="18" w:name="bookmark34"/>
          <w:bookmarkEnd w:id="18"/>
          <w:r>
            <w:fldChar w:fldCharType="begin"/>
          </w:r>
          <w:r>
            <w:instrText xml:space="preserve"> HYPERLINK \l "bookmark35" </w:instrText>
          </w:r>
          <w:r>
            <w:fldChar w:fldCharType="separate"/>
          </w:r>
          <w:r>
            <w:rPr>
              <w:rFonts w:ascii="黑体" w:hAnsi="黑体" w:eastAsia="黑体" w:cs="黑体"/>
              <w:spacing w:val="-1"/>
              <w:sz w:val="20"/>
              <w:szCs w:val="20"/>
            </w:rPr>
            <w:t>十</w:t>
          </w:r>
          <w:r>
            <w:rPr>
              <w:rFonts w:hint="eastAsia" w:ascii="黑体" w:hAnsi="黑体" w:eastAsia="黑体" w:cs="黑体"/>
              <w:spacing w:val="-1"/>
              <w:sz w:val="20"/>
              <w:szCs w:val="20"/>
              <w:lang w:eastAsia="zh-CN"/>
            </w:rPr>
            <w:t>四</w:t>
          </w:r>
          <w:r>
            <w:rPr>
              <w:rFonts w:ascii="黑体" w:hAnsi="黑体" w:eastAsia="黑体" w:cs="黑体"/>
              <w:spacing w:val="-1"/>
              <w:sz w:val="20"/>
              <w:szCs w:val="20"/>
            </w:rPr>
            <w:t>、知识产权纠纷人民调解服务</w:t>
          </w:r>
          <w:r>
            <w:rPr>
              <w:rFonts w:ascii="黑体" w:hAnsi="黑体" w:eastAsia="黑体" w:cs="黑体"/>
              <w:spacing w:val="-28"/>
              <w:sz w:val="20"/>
              <w:szCs w:val="20"/>
            </w:rPr>
            <w:t xml:space="preserve"> </w:t>
          </w:r>
          <w:r>
            <w:rPr>
              <w:rFonts w:ascii="黑体" w:hAnsi="黑体" w:eastAsia="黑体" w:cs="黑体"/>
              <w:sz w:val="20"/>
              <w:szCs w:val="20"/>
            </w:rPr>
            <w:tab/>
          </w:r>
          <w:r>
            <w:rPr>
              <w:rFonts w:ascii="黑体" w:hAnsi="黑体" w:eastAsia="黑体" w:cs="黑体"/>
              <w:spacing w:val="-39"/>
              <w:sz w:val="20"/>
              <w:szCs w:val="20"/>
            </w:rPr>
            <w:t xml:space="preserve"> </w:t>
          </w:r>
          <w:r>
            <w:rPr>
              <w:rFonts w:ascii="黑体" w:hAnsi="黑体" w:eastAsia="黑体" w:cs="黑体"/>
              <w:spacing w:val="-1"/>
              <w:sz w:val="20"/>
              <w:szCs w:val="20"/>
            </w:rPr>
            <w:t xml:space="preserve">- </w:t>
          </w:r>
          <w:r>
            <w:rPr>
              <w:rFonts w:hint="eastAsia" w:ascii="黑体" w:hAnsi="黑体" w:eastAsia="黑体" w:cs="黑体"/>
              <w:spacing w:val="-1"/>
              <w:sz w:val="20"/>
              <w:szCs w:val="20"/>
              <w:lang w:val="en-US" w:eastAsia="zh-CN"/>
            </w:rPr>
            <w:t>49</w:t>
          </w:r>
          <w:r>
            <w:rPr>
              <w:rFonts w:ascii="黑体" w:hAnsi="黑体" w:eastAsia="黑体" w:cs="黑体"/>
              <w:spacing w:val="-1"/>
              <w:sz w:val="20"/>
              <w:szCs w:val="20"/>
            </w:rPr>
            <w:t xml:space="preserve"> -</w:t>
          </w:r>
          <w:r>
            <w:rPr>
              <w:rFonts w:ascii="黑体" w:hAnsi="黑体" w:eastAsia="黑体" w:cs="黑体"/>
              <w:spacing w:val="-1"/>
              <w:sz w:val="20"/>
              <w:szCs w:val="20"/>
            </w:rPr>
            <w:fldChar w:fldCharType="end"/>
          </w:r>
        </w:p>
      </w:sdtContent>
    </w:sdt>
    <w:p w14:paraId="015A3C0C">
      <w:pPr>
        <w:keepNext w:val="0"/>
        <w:keepLines w:val="0"/>
        <w:pageBreakBefore w:val="0"/>
        <w:widowControl/>
        <w:numPr>
          <w:ilvl w:val="0"/>
          <w:numId w:val="0"/>
        </w:numPr>
        <w:kinsoku/>
        <w:wordWrap/>
        <w:overflowPunct/>
        <w:topLinePunct w:val="0"/>
        <w:autoSpaceDE w:val="0"/>
        <w:autoSpaceDN w:val="0"/>
        <w:bidi w:val="0"/>
        <w:adjustRightInd w:val="0"/>
        <w:snapToGrid w:val="0"/>
        <w:spacing w:before="101" w:line="228" w:lineRule="auto"/>
        <w:ind w:firstLine="616" w:firstLineChars="200"/>
        <w:jc w:val="both"/>
        <w:textAlignment w:val="baseline"/>
        <w:outlineLvl w:val="0"/>
        <w:rPr>
          <w:rFonts w:ascii="黑体" w:hAnsi="黑体" w:eastAsia="黑体" w:cs="黑体"/>
          <w:spacing w:val="-1"/>
          <w:sz w:val="31"/>
          <w:szCs w:val="31"/>
        </w:rPr>
      </w:pPr>
      <w:bookmarkStart w:id="19" w:name="bookmark3"/>
      <w:bookmarkEnd w:id="19"/>
      <w:bookmarkStart w:id="20" w:name="bookmark2"/>
      <w:bookmarkEnd w:id="20"/>
      <w:r>
        <w:rPr>
          <w:rFonts w:hint="eastAsia" w:ascii="黑体" w:hAnsi="黑体" w:eastAsia="黑体" w:cs="黑体"/>
          <w:spacing w:val="-1"/>
          <w:sz w:val="31"/>
          <w:szCs w:val="31"/>
          <w:lang w:eastAsia="zh-CN"/>
        </w:rPr>
        <w:t>一、</w:t>
      </w:r>
      <w:r>
        <w:rPr>
          <w:rFonts w:ascii="黑体" w:hAnsi="黑体" w:eastAsia="黑体" w:cs="黑体"/>
          <w:spacing w:val="-1"/>
          <w:sz w:val="31"/>
          <w:szCs w:val="31"/>
        </w:rPr>
        <w:t>专利预审请求</w:t>
      </w:r>
      <w:r>
        <w:rPr>
          <w:rFonts w:hint="eastAsia" w:ascii="黑体" w:hAnsi="黑体" w:eastAsia="黑体" w:cs="黑体"/>
          <w:spacing w:val="-1"/>
          <w:sz w:val="31"/>
          <w:szCs w:val="31"/>
          <w:lang w:eastAsia="zh-CN"/>
        </w:rPr>
        <w:t>咨询</w:t>
      </w:r>
    </w:p>
    <w:p w14:paraId="1EA38145">
      <w:pPr>
        <w:keepNext w:val="0"/>
        <w:keepLines w:val="0"/>
        <w:pageBreakBefore w:val="0"/>
        <w:widowControl/>
        <w:numPr>
          <w:ilvl w:val="0"/>
          <w:numId w:val="0"/>
        </w:numPr>
        <w:kinsoku/>
        <w:wordWrap/>
        <w:overflowPunct/>
        <w:topLinePunct w:val="0"/>
        <w:autoSpaceDE w:val="0"/>
        <w:autoSpaceDN w:val="0"/>
        <w:bidi w:val="0"/>
        <w:adjustRightInd w:val="0"/>
        <w:snapToGrid w:val="0"/>
        <w:spacing w:before="101" w:line="228" w:lineRule="auto"/>
        <w:ind w:firstLine="604" w:firstLineChars="200"/>
        <w:jc w:val="both"/>
        <w:textAlignment w:val="baseline"/>
        <w:outlineLvl w:val="0"/>
        <w:rPr>
          <w:rFonts w:ascii="楷体" w:hAnsi="楷体" w:eastAsia="楷体" w:cs="楷体"/>
          <w:spacing w:val="-4"/>
          <w:sz w:val="31"/>
          <w:szCs w:val="31"/>
        </w:rPr>
      </w:pPr>
    </w:p>
    <w:p w14:paraId="4BE50A0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（一）受理条件</w:t>
      </w:r>
    </w:p>
    <w:p w14:paraId="784FA57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w:t>
      </w:r>
      <w:r>
        <w:rPr>
          <w:rFonts w:hint="eastAsia" w:ascii="仿宋_GB2312" w:hAnsi="仿宋_GB2312" w:eastAsia="仿宋_GB2312" w:cs="仿宋_GB2312"/>
          <w:sz w:val="32"/>
          <w:szCs w:val="32"/>
          <w:lang w:eastAsia="zh-CN"/>
        </w:rPr>
        <w:t>莱山区</w:t>
      </w:r>
      <w:r>
        <w:rPr>
          <w:rFonts w:hint="eastAsia" w:ascii="仿宋_GB2312" w:hAnsi="仿宋_GB2312" w:eastAsia="仿宋_GB2312" w:cs="仿宋_GB2312"/>
          <w:sz w:val="32"/>
          <w:szCs w:val="32"/>
        </w:rPr>
        <w:t>企事业单位</w:t>
      </w:r>
      <w:r>
        <w:rPr>
          <w:rFonts w:hint="eastAsia" w:ascii="仿宋_GB2312" w:hAnsi="仿宋_GB2312" w:eastAsia="仿宋_GB2312" w:cs="仿宋_GB2312"/>
          <w:sz w:val="32"/>
          <w:szCs w:val="32"/>
          <w:lang w:eastAsia="zh-CN"/>
        </w:rPr>
        <w:t>关于</w:t>
      </w:r>
      <w:r>
        <w:rPr>
          <w:rFonts w:hint="eastAsia" w:ascii="仿宋_GB2312" w:hAnsi="仿宋_GB2312" w:eastAsia="仿宋_GB2312" w:cs="仿宋_GB2312"/>
          <w:sz w:val="32"/>
          <w:szCs w:val="32"/>
        </w:rPr>
        <w:t>现代食品、化工及机械装备制造领域部分专利预审申请</w:t>
      </w:r>
      <w:r>
        <w:rPr>
          <w:rFonts w:hint="eastAsia" w:ascii="仿宋_GB2312" w:hAnsi="仿宋_GB2312" w:eastAsia="仿宋_GB2312" w:cs="仿宋_GB2312"/>
          <w:sz w:val="32"/>
          <w:szCs w:val="32"/>
          <w:lang w:eastAsia="zh-CN"/>
        </w:rPr>
        <w:t>的咨询</w:t>
      </w:r>
      <w:r>
        <w:rPr>
          <w:rFonts w:hint="eastAsia" w:ascii="仿宋_GB2312" w:hAnsi="仿宋_GB2312" w:eastAsia="仿宋_GB2312" w:cs="仿宋_GB2312"/>
          <w:sz w:val="32"/>
          <w:szCs w:val="32"/>
        </w:rPr>
        <w:t>。</w:t>
      </w:r>
    </w:p>
    <w:p w14:paraId="5E61BAC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3116C10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莱山区知识产权综合服务窗口</w:t>
      </w:r>
      <w:r>
        <w:rPr>
          <w:rFonts w:hint="eastAsia" w:ascii="仿宋_GB2312" w:hAnsi="仿宋_GB2312" w:eastAsia="仿宋_GB2312" w:cs="仿宋_GB2312"/>
          <w:sz w:val="32"/>
          <w:szCs w:val="32"/>
        </w:rPr>
        <w:t>；</w:t>
      </w:r>
    </w:p>
    <w:p w14:paraId="3667EAB1">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2.预审管理平台预审案件提交系统（</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"https://cnippc.cn/ippc-web-dzsq/"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https://cnippc.cn/ippc-web-dzsq/</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6BEBE90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2EDB322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发明专利应当提交以下文件：《承诺书》《点检表》《发明专利预审申请评估报告》、第一发明人身份证复印件、联合研发证明材料（若申请主体为多个）、专利代理委托书或总委编号证明（若委托代理机构）、发明专利请求书、实质审查请求书、权利要求书、说明书、说明书附图（若有）、说明书摘要；</w:t>
      </w:r>
    </w:p>
    <w:p w14:paraId="77C8A62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请实用新型专利应当提交以下文件：《承诺书》《点检表》《实用新型专利预审申请评估报告》、第一发明人身份证复印件、联合研发证明材料（若申请主体为多个）、专利代理委托书或总委编号证明（若委托代理机构）、实用新型专利请求书、权利要求书、说明书、说明书附图、说明书摘要；</w:t>
      </w:r>
    </w:p>
    <w:p w14:paraId="6AED4AE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3.申请外观设计专利应当提交以下文件：《承诺书》、第一设计人身份证复印件、专利代理委托书或总委编号证明（若委托代理机构）、外观设计专利请求书、图片或照片、简要说明。</w:t>
      </w:r>
    </w:p>
    <w:p w14:paraId="02A4CCE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以上申请材料中，权利要求书、说明书、说明书附图、说明书摘要、图片或照片及简要说明除需提交xml版本外，还需提交与之内容完全一致的word版本；其他申请材料需提交PDF版本。</w:t>
      </w:r>
    </w:p>
    <w:p w14:paraId="45E5059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3E061AE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1.完成注册及备案</w:t>
      </w:r>
    </w:p>
    <w:p w14:paraId="29AB52C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事业单位在预审管理平台预审案件提交系统注册并备案后可自行或委托专利代理机构请求专利预审服务，拟委托代理机构请求专利预审服务，该代理机构应当先通过预审管理平台预审案件提交系统提交注册申请，审核通过后予以注册，代理机构完成注册后方可与备案主体建立委托关系，代为请求专利预审服务。</w:t>
      </w:r>
    </w:p>
    <w:p w14:paraId="3815903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2.准备申请文件</w:t>
      </w:r>
    </w:p>
    <w:p w14:paraId="68A2BB5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按上述申请材料要求准备申请文</w:t>
      </w:r>
      <w:r>
        <w:rPr>
          <w:rFonts w:hint="eastAsia" w:ascii="仿宋_GB2312" w:hAnsi="仿宋_GB2312" w:eastAsia="仿宋_GB2312" w:cs="仿宋_GB2312"/>
          <w:sz w:val="32"/>
          <w:szCs w:val="32"/>
          <w:lang w:eastAsia="zh-CN"/>
        </w:rPr>
        <w:t>件</w:t>
      </w:r>
      <w:r>
        <w:rPr>
          <w:rFonts w:hint="eastAsia" w:ascii="仿宋_GB2312" w:hAnsi="仿宋_GB2312" w:eastAsia="仿宋_GB2312" w:cs="仿宋_GB2312"/>
          <w:sz w:val="32"/>
          <w:szCs w:val="32"/>
        </w:rPr>
        <w:t>。</w:t>
      </w:r>
    </w:p>
    <w:p w14:paraId="01BE11B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3.提交申请</w:t>
      </w:r>
    </w:p>
    <w:p w14:paraId="4C7ABBB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通过互联网登录预审管理平台预审案件提交系统</w:t>
      </w:r>
    </w:p>
    <w:p w14:paraId="76CF4A7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"https://cnippc.cn/ippc-web-dzsq/"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https://cnippc.cn/ippc-web-dzsq/</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）提交申请文件。</w:t>
      </w:r>
    </w:p>
    <w:p w14:paraId="57D9B03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4.受理审查</w:t>
      </w:r>
    </w:p>
    <w:p w14:paraId="6C8A823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sectPr>
          <w:footerReference r:id="rId5" w:type="default"/>
          <w:pgSz w:w="11910" w:h="16840"/>
          <w:pgMar w:top="1431" w:right="1511" w:bottom="1647" w:left="1596" w:header="0" w:footer="1368" w:gutter="0"/>
          <w:pgNumType w:fmt="decimal" w:start="1"/>
          <w:cols w:space="720" w:num="1"/>
        </w:sectPr>
      </w:pPr>
      <w:r>
        <w:rPr>
          <w:rFonts w:hint="eastAsia" w:ascii="仿宋_GB2312" w:hAnsi="仿宋_GB2312" w:eastAsia="仿宋_GB2312" w:cs="仿宋_GB2312"/>
          <w:sz w:val="32"/>
          <w:szCs w:val="32"/>
        </w:rPr>
        <w:t>烟台市知识产权保护中心在收到专利申请文件后，进行受理审查。根据《专利法》《专利法实施细则》《专利审查指南》、国家知识产权局及中心相关规定对预审申请材料进行全面审查，视情况发出预审意见通知书，请求人须按照预审意见</w:t>
      </w:r>
    </w:p>
    <w:p w14:paraId="57424FF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修改申请材料并按期反馈修改稿，否则该预审申请将被视为撤回。</w:t>
      </w:r>
    </w:p>
    <w:p w14:paraId="13C3B5F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结案</w:t>
      </w:r>
    </w:p>
    <w:p w14:paraId="21C096D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若预审合格，请求人应尽快向国家知识产权局提交与预审合格版本一致的正式专利申请，在申请日当天或第二天通过网上缴费方式（不支持银行转账）向国家知识产权局缴纳相关费用，并于缴费当日下午</w:t>
      </w:r>
      <w:r>
        <w:rPr>
          <w:rFonts w:hint="eastAsia" w:ascii="仿宋_GB2312" w:hAnsi="仿宋_GB2312" w:eastAsia="仿宋_GB2312" w:cs="仿宋_GB2312"/>
          <w:sz w:val="32"/>
          <w:szCs w:val="32"/>
          <w:lang w:val="en-US" w:eastAsia="zh-CN"/>
        </w:rPr>
        <w:t>4:00</w:t>
      </w:r>
      <w:r>
        <w:rPr>
          <w:rFonts w:hint="eastAsia" w:ascii="仿宋_GB2312" w:hAnsi="仿宋_GB2312" w:eastAsia="仿宋_GB2312" w:cs="仿宋_GB2312"/>
          <w:sz w:val="32"/>
          <w:szCs w:val="32"/>
        </w:rPr>
        <w:t>前将申请号及缴费证明反馈至烟台中心。不符合上述要求，该申请无法进入快速审查通道；若预审不合格，请求人仍可通过普通程序向国家知识产权局提交该专利申请。</w:t>
      </w:r>
    </w:p>
    <w:p w14:paraId="510E51E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21E2941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1.电话咨询</w:t>
      </w:r>
    </w:p>
    <w:p w14:paraId="5E22988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现代食品领域：0535-672257；</w:t>
      </w:r>
    </w:p>
    <w:p w14:paraId="3E47205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化工领域：0535-6722578；</w:t>
      </w:r>
    </w:p>
    <w:p w14:paraId="3B89384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机械装备制造领域：</w:t>
      </w:r>
      <w:r>
        <w:rPr>
          <w:rFonts w:hint="eastAsia" w:ascii="仿宋_GB2312" w:hAnsi="仿宋_GB2312" w:eastAsia="仿宋_GB2312" w:cs="仿宋_GB2312"/>
          <w:sz w:val="32"/>
          <w:szCs w:val="32"/>
          <w:lang w:val="en-US" w:eastAsia="zh-CN"/>
        </w:rPr>
        <w:t>0535-6722508。</w:t>
      </w:r>
    </w:p>
    <w:p w14:paraId="7043ADE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线上查询</w:t>
      </w:r>
    </w:p>
    <w:p w14:paraId="7B893E8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申请人可登录预审管理平台预审案件提交系统查询办理进度。</w:t>
      </w:r>
    </w:p>
    <w:p w14:paraId="30A1315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（六）办结时限</w:t>
      </w:r>
    </w:p>
    <w:p w14:paraId="04AAAC1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所有预审申请自提交之日起7个工作日内结案。</w:t>
      </w:r>
    </w:p>
    <w:p w14:paraId="096E787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5306FBC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1.预审合格：该申请向国家知识产权局提交后进入快速审查通道；</w:t>
      </w:r>
    </w:p>
    <w:p w14:paraId="736F5C3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2.预审不合格：请求人仍可通过普通程序向国家知识产权局提交该申请。</w:t>
      </w:r>
    </w:p>
    <w:p w14:paraId="77AF4A1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（八）便利化举措</w:t>
      </w:r>
    </w:p>
    <w:p w14:paraId="1ABA742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开通线上办事引导功能：微信公众号（名称：烟台市知识产权保护中心）“业务办理”模块设置《专利预审确权服务指南》，提供线上办理引导。</w:t>
      </w:r>
    </w:p>
    <w:p w14:paraId="0F17A17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相关表格</w:t>
      </w:r>
    </w:p>
    <w:p w14:paraId="4DFF669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相关表格可在预审管理平台预审案件提交系统“下载中心”模块下载。</w:t>
      </w:r>
    </w:p>
    <w:p w14:paraId="3E89419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sectPr>
          <w:footerReference r:id="rId6" w:type="default"/>
          <w:pgSz w:w="11910" w:h="16840"/>
          <w:pgMar w:top="1431" w:right="1511" w:bottom="1647" w:left="1596" w:header="0" w:footer="1368" w:gutter="0"/>
          <w:pgNumType w:fmt="decimal"/>
          <w:cols w:space="720" w:num="1"/>
        </w:sectPr>
      </w:pPr>
      <w:r>
        <w:rPr>
          <w:rFonts w:hint="eastAsia" w:ascii="仿宋_GB2312" w:hAnsi="仿宋_GB2312" w:eastAsia="仿宋_GB2312" w:cs="仿宋_GB2312"/>
          <w:sz w:val="32"/>
          <w:szCs w:val="32"/>
        </w:rPr>
        <w:t>下载网址：（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"https://cnippc.cn/ippc-web-dzsq/"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https://cnippc.cn/ippc-web-dzsq/</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7733A7FD">
      <w:pPr>
        <w:keepNext w:val="0"/>
        <w:keepLines w:val="0"/>
        <w:pageBreakBefore w:val="0"/>
        <w:widowControl/>
        <w:numPr>
          <w:ilvl w:val="0"/>
          <w:numId w:val="0"/>
        </w:numPr>
        <w:kinsoku/>
        <w:wordWrap/>
        <w:overflowPunct/>
        <w:topLinePunct w:val="0"/>
        <w:autoSpaceDE w:val="0"/>
        <w:autoSpaceDN w:val="0"/>
        <w:bidi w:val="0"/>
        <w:adjustRightInd w:val="0"/>
        <w:snapToGrid w:val="0"/>
        <w:spacing w:before="101" w:line="228" w:lineRule="auto"/>
        <w:ind w:firstLine="616" w:firstLineChars="200"/>
        <w:jc w:val="both"/>
        <w:textAlignment w:val="baseline"/>
        <w:outlineLvl w:val="0"/>
        <w:rPr>
          <w:rFonts w:hint="eastAsia" w:ascii="黑体" w:hAnsi="黑体" w:eastAsia="黑体" w:cs="黑体"/>
          <w:spacing w:val="-1"/>
          <w:sz w:val="31"/>
          <w:szCs w:val="31"/>
          <w:lang w:eastAsia="zh-CN"/>
        </w:rPr>
      </w:pPr>
      <w:bookmarkStart w:id="21" w:name="bookmark5"/>
      <w:bookmarkEnd w:id="21"/>
      <w:bookmarkStart w:id="22" w:name="bookmark4"/>
      <w:bookmarkEnd w:id="22"/>
      <w:r>
        <w:rPr>
          <w:rFonts w:hint="eastAsia" w:ascii="黑体" w:hAnsi="黑体" w:eastAsia="黑体" w:cs="黑体"/>
          <w:spacing w:val="-1"/>
          <w:sz w:val="31"/>
          <w:szCs w:val="31"/>
          <w:lang w:eastAsia="zh-CN"/>
        </w:rPr>
        <w:t>二、</w:t>
      </w:r>
      <w:r>
        <w:rPr>
          <w:rFonts w:ascii="黑体" w:hAnsi="黑体" w:eastAsia="黑体" w:cs="黑体"/>
          <w:spacing w:val="-1"/>
          <w:sz w:val="31"/>
          <w:szCs w:val="31"/>
        </w:rPr>
        <w:t>专利实施许可合同备案</w:t>
      </w:r>
      <w:r>
        <w:rPr>
          <w:rFonts w:hint="eastAsia" w:ascii="黑体" w:hAnsi="黑体" w:eastAsia="黑体" w:cs="黑体"/>
          <w:spacing w:val="-1"/>
          <w:sz w:val="31"/>
          <w:szCs w:val="31"/>
          <w:lang w:eastAsia="zh-CN"/>
        </w:rPr>
        <w:t>咨询</w:t>
      </w:r>
    </w:p>
    <w:p w14:paraId="7AAA91E1">
      <w:pPr>
        <w:keepNext w:val="0"/>
        <w:keepLines w:val="0"/>
        <w:pageBreakBefore w:val="0"/>
        <w:widowControl/>
        <w:numPr>
          <w:ilvl w:val="0"/>
          <w:numId w:val="0"/>
        </w:numPr>
        <w:kinsoku/>
        <w:wordWrap/>
        <w:overflowPunct/>
        <w:topLinePunct w:val="0"/>
        <w:autoSpaceDE w:val="0"/>
        <w:autoSpaceDN w:val="0"/>
        <w:bidi w:val="0"/>
        <w:adjustRightInd w:val="0"/>
        <w:snapToGrid w:val="0"/>
        <w:spacing w:before="101" w:line="228" w:lineRule="auto"/>
        <w:jc w:val="both"/>
        <w:textAlignment w:val="baseline"/>
        <w:outlineLvl w:val="0"/>
        <w:rPr>
          <w:rFonts w:hint="eastAsia" w:ascii="黑体" w:hAnsi="黑体" w:eastAsia="黑体" w:cs="黑体"/>
          <w:spacing w:val="-1"/>
          <w:sz w:val="31"/>
          <w:szCs w:val="31"/>
          <w:lang w:eastAsia="zh-CN"/>
        </w:rPr>
      </w:pPr>
    </w:p>
    <w:p w14:paraId="3F1194E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（一）受理条件</w:t>
      </w:r>
    </w:p>
    <w:p w14:paraId="3021A72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1.许可人应当是“专利登记簿”中记载的全体专利权利人，或者是其中的部分专利权利人，或者是获得专利权人授权的权利人；</w:t>
      </w:r>
    </w:p>
    <w:p w14:paraId="77B9488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2.对于共有专利权的部分专利权人，专利申请权或者专利权的共有人对权利的行使没有约定的，共有人可以普通许可方式许可他人实施该专利；</w:t>
      </w:r>
    </w:p>
    <w:p w14:paraId="6FB432B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3.对于获得专利权人授权的权利人，应当根据被授权的范围进行专利实施许可；</w:t>
      </w:r>
    </w:p>
    <w:p w14:paraId="1B13332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4.许可人和被许可人应当是能够独立承担民事责任，履行民事行为的个人或单位；</w:t>
      </w:r>
    </w:p>
    <w:p w14:paraId="33D30EE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5.在中国没有经常居所或者营业所的外国人、外国企业或者外国其他组织办理备案相关手续的，应当委托依法设立的专利代理机构办理。</w:t>
      </w:r>
    </w:p>
    <w:p w14:paraId="71F3189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71B0A9A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莱山区知识产权综合服务窗口</w:t>
      </w:r>
      <w:r>
        <w:rPr>
          <w:rFonts w:hint="eastAsia" w:ascii="仿宋_GB2312" w:hAnsi="仿宋_GB2312" w:eastAsia="仿宋_GB2312" w:cs="仿宋_GB2312"/>
          <w:sz w:val="32"/>
          <w:szCs w:val="32"/>
        </w:rPr>
        <w:t>；</w:t>
      </w:r>
    </w:p>
    <w:p w14:paraId="74F2B2FA">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2.专利业务办理</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"https://cponline.cnipa.gov.cn/"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https://cponline.cnipa.gov.cn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5F1318E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3.接收邮寄。</w:t>
      </w:r>
    </w:p>
    <w:p w14:paraId="427D0C7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06B8A24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1.专利实施许可合同备案申请表。该表格应当为标准表格，内容应当打印，并且由许可人和代理人共同签章或签字，许可人委托依法设立的专利代理机构的，申请表可以仅由专利代理机构签章。</w:t>
      </w:r>
    </w:p>
    <w:p w14:paraId="0A98DD0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2.专利实施许可合同。包括以下内容：</w:t>
      </w:r>
    </w:p>
    <w:p w14:paraId="7EF3E64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（1）当事人的姓名或者名称、当事人地址；</w:t>
      </w:r>
    </w:p>
    <w:p w14:paraId="0CAB5B4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（2）专利权项数以及每项专利权的名称、专利号、申请日、授权公告日；</w:t>
      </w:r>
    </w:p>
    <w:p w14:paraId="02CB2C2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（3）实施许可的种类和期限；</w:t>
      </w:r>
    </w:p>
    <w:p w14:paraId="4DB0DAA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3.许可人与被许可人的合法居民身份证明或法人资格证明；</w:t>
      </w:r>
    </w:p>
    <w:p w14:paraId="337F23D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4.委托书。被委托人为自然人的，应当一并提交其居民身份证明；被委托人为专利代理机构的，应当使用专利局制定的专利代理委托书标准表格，写明委托权限；</w:t>
      </w:r>
    </w:p>
    <w:p w14:paraId="0033780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5.其他需要提供的材料。例如，当事人针对专利实施许可合同签订了补充协议的，在必要的情况下应当一并提交。通过互联网在线办理的，应附上由双方当事人或被委托人签章的电子扫描件与原件一致的声明；</w:t>
      </w:r>
    </w:p>
    <w:p w14:paraId="47924D6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上述备案文件是外文文本的，应当附中文译本一份，并以中文译本为准。</w:t>
      </w:r>
    </w:p>
    <w:p w14:paraId="697BEBF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018659E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1.签订专利实施许可合同后，填写《专利实施许可合同备案申请表》，请求人可通过国家知识产权局网站政务服务部分下载《专利实施许可合同备案申请表》。</w:t>
      </w:r>
    </w:p>
    <w:p w14:paraId="0B500EB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2.递交申请材料</w:t>
      </w:r>
    </w:p>
    <w:p w14:paraId="392106F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（1）网上办理</w:t>
      </w:r>
    </w:p>
    <w:p w14:paraId="41BB872D">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请求人可通过互联网登录专利业务办理系统（</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"https://cponline.cnipa.gov.cn/"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https://cponline.cnipa.gov.cn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）进行线上办理新申请、变更注销。</w:t>
      </w:r>
    </w:p>
    <w:p w14:paraId="38FB5A7A">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（2）当面提交</w:t>
      </w:r>
    </w:p>
    <w:p w14:paraId="0406E00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请求人通过国家知识产权局专利局济南代办处烟台工作站面交；</w:t>
      </w:r>
    </w:p>
    <w:p w14:paraId="1557816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（3）邮寄提交</w:t>
      </w:r>
    </w:p>
    <w:p w14:paraId="23A58AD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邮寄地址：烟台市莱山区山海路117号总部经济基地，烟台市知识产权保护中心，邮政编码:264003。（注：当事人应在邮寄信封上注明“许可备案”字样。）</w:t>
      </w:r>
    </w:p>
    <w:p w14:paraId="43CDBDF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3.审查过程中，必要时配合提供相关情况说明或证明材料。</w:t>
      </w:r>
    </w:p>
    <w:p w14:paraId="6E46BC0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递交国家知识产权局，在收到专利实施许可合同备案申请文件之后办理相关业务，决定是否予以备案，并可在必要时要求请求人作出书面说明或提供相关证明材料。专利实施许可合同备案申请经审查合格的，国家知识产权局在专利公报上进行公告，并在专利登记簿上予以登记，向当事人发送《专利实施许可合同备案证明》。当事人可以通过窗口自取或者接收挂号信的方式获取通知书。</w:t>
      </w:r>
    </w:p>
    <w:p w14:paraId="2ED29A1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实施许可合同备案申请经审查不能备案的，向当事人发送《专利实施许可合同备案业务专用函》，告知当事人应当消除的缺陷，同时退还全部申请材料。当事人如需再次办理备案手续的，应当克服相关缺陷，并重新提交申请。</w:t>
      </w:r>
    </w:p>
    <w:p w14:paraId="139FEA3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4.取得《专利实施许可合同备案证明》</w:t>
      </w:r>
    </w:p>
    <w:p w14:paraId="09FF781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办理流程，国家知识产权局专利局济南代办处烟台工作站按照申请人请求通过邮寄的方式或电子发文方式将《专利实施许可合同备案证明》送达给请求人，请求人也可选择到国家知识产权局专利局济南代办处烟台工作站自取。</w:t>
      </w:r>
    </w:p>
    <w:p w14:paraId="5FA0C8C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5.专利实施许可合同备案公告</w:t>
      </w:r>
    </w:p>
    <w:p w14:paraId="3E5ADB1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知识产权局在专利公报上公告专利实施许可合同备案的下列内容：许可人、被许可人、主分类号、专利号、申请日、授权公告日、实施许可的种类、备案日期。当事人及社会公众可通过专利公报或登录国家知识产权局官网政务服务平台中国专利公布公告系统查询有关公告信息。</w:t>
      </w:r>
    </w:p>
    <w:p w14:paraId="1B2A76B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3533B86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1.网络查询</w:t>
      </w:r>
    </w:p>
    <w:p w14:paraId="28DE8F99">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通过专利业务办理系统（</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"https://cponline.cnipa.gov.cn/"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https://cponline.cnipa.gov.cn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）提出专利实施许可合同备案请求的，请求人可通过专利业务办理系统查询办理进度；</w:t>
      </w:r>
    </w:p>
    <w:p w14:paraId="749EB58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2.电话咨询：0535-6722510；</w:t>
      </w:r>
    </w:p>
    <w:p w14:paraId="317D79C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3.电子邮件咨询：ggfw@yt.shandong.cn；</w:t>
      </w:r>
    </w:p>
    <w:p w14:paraId="67CD7C5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4.当面咨询：国家知识产权局专利局济南代办处烟台工作站</w:t>
      </w:r>
    </w:p>
    <w:p w14:paraId="702FB3A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5.信函咨询</w:t>
      </w:r>
    </w:p>
    <w:p w14:paraId="3DCC807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邮寄地址：烟台市莱山区山海路117号总部经济基地，烟台市知识产权保护中心，邮政编码:264003。</w:t>
      </w:r>
    </w:p>
    <w:p w14:paraId="7039EC4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（六）办结时限</w:t>
      </w:r>
    </w:p>
    <w:p w14:paraId="367B617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2个工作日内进行审查并决定是否递交国家知识产权局。</w:t>
      </w:r>
    </w:p>
    <w:p w14:paraId="606B1CE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68D5B37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1.符合要求：递交国家知识产权局准予备案，出具专利实施许可合同备案证明，并予以公告；</w:t>
      </w:r>
    </w:p>
    <w:p w14:paraId="7B288EE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2.不符合要求：退回请求材料，告知存在的问题。</w:t>
      </w:r>
    </w:p>
    <w:p w14:paraId="6E9BD22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（八）相关表格</w:t>
      </w:r>
    </w:p>
    <w:p w14:paraId="7F395589">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《专利实施许可合同备案申请表》。</w:t>
      </w:r>
    </w:p>
    <w:p w14:paraId="2CFE9FF9">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下载网址：国家知识产权局官方网站首页，“政务服务”栏目中表格下载页面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"https://www.cnipa.gov.cn/col/col192/index.html"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https://www.cnipa.gov.cn/col/col192/index.html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0D351BD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sectPr>
          <w:footerReference r:id="rId7" w:type="default"/>
          <w:pgSz w:w="11910" w:h="16840"/>
          <w:pgMar w:top="1431" w:right="1251" w:bottom="1648" w:left="1636" w:header="0" w:footer="1368" w:gutter="0"/>
          <w:pgNumType w:fmt="decimal"/>
          <w:cols w:space="720" w:num="1"/>
        </w:sectPr>
      </w:pPr>
    </w:p>
    <w:p w14:paraId="74D85E70">
      <w:pPr>
        <w:keepNext w:val="0"/>
        <w:keepLines w:val="0"/>
        <w:pageBreakBefore w:val="0"/>
        <w:widowControl/>
        <w:numPr>
          <w:ilvl w:val="0"/>
          <w:numId w:val="0"/>
        </w:numPr>
        <w:kinsoku/>
        <w:wordWrap/>
        <w:overflowPunct/>
        <w:topLinePunct w:val="0"/>
        <w:autoSpaceDE w:val="0"/>
        <w:autoSpaceDN w:val="0"/>
        <w:bidi w:val="0"/>
        <w:adjustRightInd w:val="0"/>
        <w:snapToGrid w:val="0"/>
        <w:spacing w:before="287" w:line="228" w:lineRule="auto"/>
        <w:ind w:firstLine="612" w:firstLineChars="200"/>
        <w:jc w:val="both"/>
        <w:textAlignment w:val="baseline"/>
        <w:outlineLvl w:val="0"/>
        <w:rPr>
          <w:rFonts w:hint="eastAsia" w:ascii="黑体" w:hAnsi="黑体" w:eastAsia="黑体" w:cs="黑体"/>
          <w:spacing w:val="-2"/>
          <w:sz w:val="31"/>
          <w:szCs w:val="31"/>
          <w:lang w:eastAsia="zh-CN"/>
        </w:rPr>
      </w:pPr>
      <w:bookmarkStart w:id="23" w:name="bookmark6"/>
      <w:bookmarkEnd w:id="23"/>
      <w:bookmarkStart w:id="24" w:name="bookmark7"/>
      <w:bookmarkEnd w:id="24"/>
      <w:r>
        <w:rPr>
          <w:rFonts w:hint="eastAsia" w:ascii="黑体" w:hAnsi="黑体" w:eastAsia="黑体" w:cs="黑体"/>
          <w:spacing w:val="-2"/>
          <w:sz w:val="31"/>
          <w:szCs w:val="31"/>
          <w:lang w:eastAsia="zh-CN"/>
        </w:rPr>
        <w:t>三、</w:t>
      </w:r>
      <w:r>
        <w:rPr>
          <w:rFonts w:ascii="黑体" w:hAnsi="黑体" w:eastAsia="黑体" w:cs="黑体"/>
          <w:spacing w:val="-2"/>
          <w:sz w:val="31"/>
          <w:szCs w:val="31"/>
        </w:rPr>
        <w:t>专利权质押登记</w:t>
      </w:r>
      <w:r>
        <w:rPr>
          <w:rFonts w:hint="eastAsia" w:ascii="黑体" w:hAnsi="黑体" w:eastAsia="黑体" w:cs="黑体"/>
          <w:spacing w:val="-2"/>
          <w:sz w:val="31"/>
          <w:szCs w:val="31"/>
          <w:lang w:eastAsia="zh-CN"/>
        </w:rPr>
        <w:t>咨询</w:t>
      </w:r>
    </w:p>
    <w:p w14:paraId="2C3A2B84">
      <w:pPr>
        <w:keepNext w:val="0"/>
        <w:keepLines w:val="0"/>
        <w:pageBreakBefore w:val="0"/>
        <w:widowControl/>
        <w:kinsoku/>
        <w:wordWrap/>
        <w:overflowPunct/>
        <w:topLinePunct w:val="0"/>
        <w:autoSpaceDE w:val="0"/>
        <w:autoSpaceDN w:val="0"/>
        <w:bidi w:val="0"/>
        <w:adjustRightInd w:val="0"/>
        <w:snapToGrid w:val="0"/>
        <w:jc w:val="both"/>
        <w:textAlignment w:val="baseline"/>
        <w:rPr>
          <w:rFonts w:hint="eastAsia" w:ascii="仿宋_GB2312" w:hAnsi="仿宋_GB2312" w:eastAsia="仿宋_GB2312" w:cs="仿宋_GB2312"/>
        </w:rPr>
      </w:pPr>
    </w:p>
    <w:p w14:paraId="436051D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（一）受理条件</w:t>
      </w:r>
    </w:p>
    <w:p w14:paraId="0ACD142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1.专利权质押登记请求应当由专利权质押双方当事人，即出质人和质权人共同提出；</w:t>
      </w:r>
    </w:p>
    <w:p w14:paraId="5FEFED9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2.出质人应当是专利登记簿中记载的专利权人。如果一项专利有多个专利权人，则出质人应当为全体专利权人，当事人另有约定的情形除外；</w:t>
      </w:r>
    </w:p>
    <w:p w14:paraId="3CD5A16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3.在中国没有经常居所或者营业所的外国人、外国企业或者外国其他组织办理专利权质押登记手续的，应当委托依法设立的专利代理机构办理；</w:t>
      </w:r>
    </w:p>
    <w:p w14:paraId="0EEC963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4.质押专利应当为已经授权公告且处于有效状态的专利权。</w:t>
      </w:r>
    </w:p>
    <w:p w14:paraId="63FD233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11C5504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莱山区知识产权综合服务窗口</w:t>
      </w:r>
      <w:r>
        <w:rPr>
          <w:rFonts w:hint="eastAsia" w:ascii="仿宋_GB2312" w:hAnsi="仿宋_GB2312" w:eastAsia="仿宋_GB2312" w:cs="仿宋_GB2312"/>
          <w:sz w:val="32"/>
          <w:szCs w:val="32"/>
        </w:rPr>
        <w:t>；</w:t>
      </w:r>
    </w:p>
    <w:p w14:paraId="2374519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2.专利业务办理系（</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"https://cponline.cnipa.gov.cn/"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https://cponline.cnipa.gov.cn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270366A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3.接收邮寄。</w:t>
      </w:r>
    </w:p>
    <w:p w14:paraId="58BB2CB4">
      <w:pPr>
        <w:keepNext w:val="0"/>
        <w:keepLines w:val="0"/>
        <w:pageBreakBefore w:val="0"/>
        <w:widowControl/>
        <w:kinsoku/>
        <w:wordWrap/>
        <w:overflowPunct/>
        <w:topLinePunct w:val="0"/>
        <w:autoSpaceDE w:val="0"/>
        <w:autoSpaceDN w:val="0"/>
        <w:bidi w:val="0"/>
        <w:adjustRightInd w:val="0"/>
        <w:snapToGrid w:val="0"/>
        <w:spacing w:line="560" w:lineRule="exact"/>
        <w:ind w:firstLine="600" w:firstLineChars="200"/>
        <w:jc w:val="both"/>
        <w:textAlignment w:val="baseline"/>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（三）申请材料</w:t>
      </w:r>
    </w:p>
    <w:p w14:paraId="70A004F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1.专利权质押登记申请表。该表格应当由质押双方当事人共同签章或签字，同时应当有代理人的签字；</w:t>
      </w:r>
    </w:p>
    <w:p w14:paraId="454F6FC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2.专利权质押合同。包括以下与质押登记相关的内容：</w:t>
      </w:r>
    </w:p>
    <w:p w14:paraId="677332C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（1）当事人的姓名或者名称、地址；</w:t>
      </w:r>
    </w:p>
    <w:p w14:paraId="66BE45C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（2）被担保债权的种类和数额；</w:t>
      </w:r>
    </w:p>
    <w:p w14:paraId="5BC37EB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（3）债务人履行债务的期限；</w:t>
      </w:r>
    </w:p>
    <w:p w14:paraId="5FAF2BB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（4）专利权项数以及每项专利权的专利号、申请日、授权公告日；</w:t>
      </w:r>
    </w:p>
    <w:p w14:paraId="3EFF58B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（5）质押担保的范围；</w:t>
      </w:r>
    </w:p>
    <w:p w14:paraId="554B298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3.出质人与质权人的合法居民身份证明或法人资格证明或当事人签署的相关承诺书；</w:t>
      </w:r>
    </w:p>
    <w:p w14:paraId="01D272F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4.委托书。被委托人为自然人的，应当一并提交其居民身份证明；被委托人为专利代理机构的，应当使用专利局制定的专利代理委托书标准表格，写明委托权限；</w:t>
      </w:r>
    </w:p>
    <w:p w14:paraId="04D91E1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其他需要提供的材料。例如：请求办理质押登记的同一申请人的实用新型有同样的发明创造已于同日申请发明专利的，或者出质专利已被启动无效宣告程序的，须提交“同意继续办理专利权质押登记声明”一份。通过互联网在线办理的，应附上由双方当事人或被委托人签章的电子扫描件与原件一致的声明；</w:t>
      </w:r>
    </w:p>
    <w:p w14:paraId="65EBF74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专利权经过资产评估的，当事人还应当提交资产评估报告；</w:t>
      </w:r>
    </w:p>
    <w:p w14:paraId="1F10B00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除居民身份证明或法人资格证明外，当事人提交的其他各种文件应当使用中文。居民身份证明或法人资格证明是外文的，当事人应当附送中文译文；未附送的，视为未提交。</w:t>
      </w:r>
    </w:p>
    <w:p w14:paraId="54D969C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6CFD27B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1.签订专利权质押合同后，填写《专利权质押登记申请表》。</w:t>
      </w:r>
    </w:p>
    <w:p w14:paraId="126AC1A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请求人可通过国家知识产权局网站政务服务部分下载《专利权质押登记申请表（附承诺书）》。</w:t>
      </w:r>
    </w:p>
    <w:p w14:paraId="27951FC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588F74B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2.递交申请材料</w:t>
      </w:r>
    </w:p>
    <w:p w14:paraId="6ADA97F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（1）网上办理</w:t>
      </w:r>
    </w:p>
    <w:p w14:paraId="4AEAC468">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请求人可通过互联网登录专利业务办理系统（</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"https://cponline.cnipa.gov.cn/"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https://cponline.cnipa.gov.cn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）进行线上办理新申请、变更、注销手续；</w:t>
      </w:r>
    </w:p>
    <w:p w14:paraId="1E001F6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（2）当面提交</w:t>
      </w:r>
    </w:p>
    <w:p w14:paraId="51D063C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请求人通过国家知识产权局专利局济南代办处烟台工作站面交；</w:t>
      </w:r>
    </w:p>
    <w:p w14:paraId="258013E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（3）邮寄提交</w:t>
      </w:r>
    </w:p>
    <w:p w14:paraId="788554F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邮寄地址：烟台市莱山区山海路117号总部经济基地，烟台市知识产权保护中心，邮政编码:264003。</w:t>
      </w:r>
    </w:p>
    <w:p w14:paraId="08C1B26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（注：当事人应在邮寄信封上注明“质押登记”字样。）</w:t>
      </w:r>
    </w:p>
    <w:p w14:paraId="2C78CBE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3.审查过程中，必要时配合提供相关情况说明或证明材料。</w:t>
      </w:r>
    </w:p>
    <w:p w14:paraId="6D4135F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递交国家知识产权局后办理相关业务，决定是否予以登记，并可在必要时要求请求人作出书面说明或提供相关证明材料。专利权质押登记申请经审查合格的，国家知识产权局在专利公报上进行公告，并在专利登记簿上予以登记，向当事人发送《专利权质押登记通知书》；</w:t>
      </w:r>
    </w:p>
    <w:p w14:paraId="1E81473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专利权质押登记申请经审查不能登记的，向当事人发送《专利权质押登记业务专用函》，告知当事人应当消除的缺陷，同时退还全部申请材料。当事人如需再次办理登记手续的，应当克服相关缺陷。</w:t>
      </w:r>
    </w:p>
    <w:p w14:paraId="7D0949F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57D59C2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1EE9388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4.取得《专利权质押登记通知书》</w:t>
      </w:r>
    </w:p>
    <w:p w14:paraId="009647A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国家知识产权局专利局济南代办处烟台工作站按照申请人请求通过邮寄的方式或电子发文方式将《专利权质押登记通知书》送达给请求人，请求人也可选择到国家知识产权局专利局济南代办处烟台工作站自取。</w:t>
      </w:r>
    </w:p>
    <w:p w14:paraId="3F00997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5.专利权质押登记公告</w:t>
      </w:r>
    </w:p>
    <w:p w14:paraId="75D777B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知识产权局在专利公报上公告专利权质押登记的下列内容：出质人、质权人、主分类号、专利号、授权公告日、质押登记日等。当事人及社会公众可通过专利公报或登录国家知识产权局官网政务服务平台中国专利公布公告系统查询有关公告信息。</w:t>
      </w:r>
    </w:p>
    <w:p w14:paraId="000B6E5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3CAA193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1.电话咨询：0535-6722510；</w:t>
      </w:r>
    </w:p>
    <w:p w14:paraId="0DFDC27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2.电子邮件咨询：ggfw@yt.shandong.cn；</w:t>
      </w:r>
    </w:p>
    <w:p w14:paraId="628A72B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3.网络查询</w:t>
      </w:r>
    </w:p>
    <w:p w14:paraId="3666F01F">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通过专利业务办理系统（</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"https://cponline.cnipa.gov.cn/"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https://cponline.cnipa.gov.cn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）提出专利权质押登记请求的，请求人可通过专利业务办理系统查询办理进度；</w:t>
      </w:r>
    </w:p>
    <w:p w14:paraId="2A0C9F9A">
      <w:pPr>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当面咨询：国家知识产权局专利局济南代办处烟台工作站；</w:t>
      </w:r>
    </w:p>
    <w:p w14:paraId="7BFA64F1">
      <w:pPr>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5.信函咨询</w:t>
      </w:r>
    </w:p>
    <w:p w14:paraId="39D3744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邮寄地址：烟台市莱山区山海路117号总部经济基地，烟台市知识产权保护中心，邮政编码:264003。</w:t>
      </w:r>
    </w:p>
    <w:p w14:paraId="599C847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lang w:eastAsia="zh-CN"/>
        </w:rPr>
      </w:pPr>
    </w:p>
    <w:p w14:paraId="2FFC68E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lang w:eastAsia="zh-CN"/>
        </w:rPr>
      </w:pPr>
    </w:p>
    <w:p w14:paraId="1EBFDD8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（六）</w:t>
      </w:r>
      <w:r>
        <w:rPr>
          <w:rFonts w:hint="eastAsia" w:ascii="楷体_GB2312" w:hAnsi="楷体_GB2312" w:eastAsia="楷体_GB2312" w:cs="楷体_GB2312"/>
          <w:sz w:val="32"/>
          <w:szCs w:val="32"/>
        </w:rPr>
        <w:t>办结时限</w:t>
      </w:r>
    </w:p>
    <w:p w14:paraId="10A61C5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当事人通过窗口面交或者邮寄提交的，自收到纸件质押登记申请文件之日起2个工作日内完成审查并决定是否予以登记；通过互联网在线方式提交的,可加快办理进度，快速审结。</w:t>
      </w:r>
    </w:p>
    <w:p w14:paraId="7353396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09EB286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1.符合规定：递交国家知识产权局；</w:t>
      </w:r>
    </w:p>
    <w:p w14:paraId="0C17682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2.不符合规定：退回请求材料，告知存在的问题。</w:t>
      </w:r>
    </w:p>
    <w:p w14:paraId="66B8375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（八）实行告知承诺办理情况</w:t>
      </w:r>
    </w:p>
    <w:p w14:paraId="0475310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实行承诺办理。可以提交承诺书替代双方当事人居民身份证明或法人资格证明。当事人通过互联网在线办理专利权质押登记手续的，对所提交电子件与纸件原件的一致性作出承诺，应当于事后1个月内补交纸件原件。</w:t>
      </w:r>
    </w:p>
    <w:p w14:paraId="348F593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（九）相关表格</w:t>
      </w:r>
    </w:p>
    <w:p w14:paraId="1CEEBAA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《专利权质押登记申请表（附承诺书）》《同意继续办理专利权质押登记声明》。</w:t>
      </w:r>
    </w:p>
    <w:p w14:paraId="4B1FAEDF">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rPr>
      </w:pPr>
      <w:r>
        <w:rPr>
          <w:rFonts w:hint="eastAsia" w:ascii="仿宋_GB2312" w:hAnsi="仿宋_GB2312" w:eastAsia="仿宋_GB2312" w:cs="仿宋_GB2312"/>
          <w:sz w:val="32"/>
          <w:szCs w:val="32"/>
        </w:rPr>
        <w:t>下载网址：国家知识产权局官方网站首页，“政务服务”栏目中表格下载页面（</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"https://www.cnipa.gov.cn/col/col192/index.html"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https://www.cnipa.gov.cn/col/col192/inde</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"https://www.cnipa.gov.cn/col/col192/index.html"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x.html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542A274C">
      <w:pPr>
        <w:keepNext w:val="0"/>
        <w:keepLines w:val="0"/>
        <w:pageBreakBefore w:val="0"/>
        <w:widowControl/>
        <w:kinsoku/>
        <w:wordWrap/>
        <w:overflowPunct/>
        <w:topLinePunct w:val="0"/>
        <w:autoSpaceDE w:val="0"/>
        <w:autoSpaceDN w:val="0"/>
        <w:bidi w:val="0"/>
        <w:adjustRightInd w:val="0"/>
        <w:snapToGrid w:val="0"/>
        <w:spacing w:line="313" w:lineRule="auto"/>
        <w:jc w:val="both"/>
        <w:textAlignment w:val="baseline"/>
        <w:rPr>
          <w:rFonts w:ascii="FangSong_GB2312" w:hAnsi="FangSong_GB2312" w:eastAsia="FangSong_GB2312" w:cs="FangSong_GB2312"/>
          <w:sz w:val="31"/>
          <w:szCs w:val="31"/>
        </w:rPr>
        <w:sectPr>
          <w:footerReference r:id="rId8" w:type="default"/>
          <w:pgSz w:w="11910" w:h="16840"/>
          <w:pgMar w:top="1431" w:right="1289" w:bottom="1396" w:left="1697" w:header="0" w:footer="1116" w:gutter="0"/>
          <w:pgNumType w:fmt="decimal"/>
          <w:cols w:space="720" w:num="1"/>
        </w:sectPr>
      </w:pPr>
    </w:p>
    <w:p w14:paraId="6D13FF7E">
      <w:pPr>
        <w:keepNext w:val="0"/>
        <w:keepLines w:val="0"/>
        <w:pageBreakBefore w:val="0"/>
        <w:widowControl/>
        <w:numPr>
          <w:ilvl w:val="0"/>
          <w:numId w:val="1"/>
        </w:numPr>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lang w:eastAsia="zh-CN"/>
        </w:rPr>
      </w:pPr>
      <w:bookmarkStart w:id="25" w:name="bookmark9"/>
      <w:bookmarkEnd w:id="25"/>
      <w:bookmarkStart w:id="26" w:name="bookmark10"/>
      <w:bookmarkEnd w:id="26"/>
      <w:r>
        <w:rPr>
          <w:rFonts w:hint="eastAsia" w:ascii="黑体" w:hAnsi="黑体" w:eastAsia="黑体" w:cs="黑体"/>
          <w:sz w:val="32"/>
          <w:szCs w:val="32"/>
        </w:rPr>
        <w:t>商标注册申请</w:t>
      </w:r>
      <w:r>
        <w:rPr>
          <w:rFonts w:hint="eastAsia" w:ascii="黑体" w:hAnsi="黑体" w:eastAsia="黑体" w:cs="黑体"/>
          <w:sz w:val="32"/>
          <w:szCs w:val="32"/>
          <w:lang w:eastAsia="zh-CN"/>
        </w:rPr>
        <w:t>咨询</w:t>
      </w:r>
    </w:p>
    <w:p w14:paraId="2EF770A1">
      <w:pPr>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lang w:eastAsia="zh-CN"/>
        </w:rPr>
      </w:pPr>
    </w:p>
    <w:p w14:paraId="676D7A7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第一类：受理社会公众提交的商标注册申请</w:t>
      </w:r>
    </w:p>
    <w:p w14:paraId="09E7C3E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（一）受理条件</w:t>
      </w:r>
    </w:p>
    <w:p w14:paraId="232A6A8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自然人、法人或者其他组织在生产经营活动中，对其商品或者服务需要取得商标专用权的，向国家知识产权局商标业务烟台受理窗口申请商标注册。</w:t>
      </w:r>
    </w:p>
    <w:p w14:paraId="2373FD4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053FB5C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莱山区知识产权综合服务窗口</w:t>
      </w:r>
      <w:r>
        <w:rPr>
          <w:rFonts w:hint="eastAsia" w:ascii="仿宋_GB2312" w:hAnsi="仿宋_GB2312" w:eastAsia="仿宋_GB2312" w:cs="仿宋_GB2312"/>
          <w:sz w:val="32"/>
          <w:szCs w:val="32"/>
        </w:rPr>
        <w:t>；</w:t>
      </w:r>
    </w:p>
    <w:p w14:paraId="1B6C87C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08A6FFF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715C8CC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《商标注册申请书》。</w:t>
      </w:r>
    </w:p>
    <w:p w14:paraId="1A5C33B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居民身份证明、法人资格证明或其他组织的身份证明文件。申请人为内地（大陆）自然人的，还需提供证明其从事生产经营活动的主体资格证明文件（如个体工商户营业执照、农村土地承包经营合同等）。</w:t>
      </w:r>
    </w:p>
    <w:p w14:paraId="471B8CD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中华人民共和国商标法》第二十五条、第二十六条要求优先权的，应当在提出商标注册申请的时候提出书面声明，并且在三个月内提交优先权证明文件（如第一次提出的商标注册申请文件的副本、国际展览会展出商品首次使用商标的证明文件等），包括原件和完整的中文译文。</w:t>
      </w:r>
    </w:p>
    <w:p w14:paraId="78D92C5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申请注册集体商标、证明商标的，附送相关文件。</w:t>
      </w:r>
    </w:p>
    <w:p w14:paraId="40E9672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1FD229E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48EC770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07A2309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1.填写《商标注册申请书》，准备其他申请材料</w:t>
      </w:r>
    </w:p>
    <w:p w14:paraId="68597BCA">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申请人可通过中国商标网商标申请的“申请书式”栏目（</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）下载《商标注册申请书》。</w:t>
      </w:r>
    </w:p>
    <w:p w14:paraId="2103BBB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2.提交申请</w:t>
      </w:r>
    </w:p>
    <w:p w14:paraId="1168BC3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（1）网上提交</w:t>
      </w:r>
    </w:p>
    <w:p w14:paraId="70E15CD2">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通过互联网登录（</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"https://sbj.cnipa.gov.cn/sbj/wssq/"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https://sbj.cnipa.gov.cn/sbj/wssq/</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）线上提交申请，具体方法详见中国商标网“网上申请”栏目；</w:t>
      </w:r>
    </w:p>
    <w:p w14:paraId="7B53A6F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（2）当面提交</w:t>
      </w:r>
    </w:p>
    <w:p w14:paraId="1274B4E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通过国家知识产权局商标业务烟台受理窗口提交；</w:t>
      </w:r>
    </w:p>
    <w:p w14:paraId="380239A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（3）委托在商标局备案的商标代理机构办理</w:t>
      </w:r>
    </w:p>
    <w:p w14:paraId="7E8FCF2C">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申请人可以自愿选择任何一家在国家知识产权局商标局备案的商标代理机构办理。所有在国家知识产权局商标局备案的商标代理机构都公布在中国商标网（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）“商标代理”栏目中。</w:t>
      </w:r>
    </w:p>
    <w:p w14:paraId="59EB880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3.注册申请形式审查，必要时申请人配合进行补正</w:t>
      </w:r>
    </w:p>
    <w:p w14:paraId="4F1A742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国家知识产权局商标业务烟台受理窗口在收到有关申请文件之后办理相关业务，并可在必要时要求申请人进行补正后递交国家知识产权局商标局，经形式审查符合规定的，通知申请人缴纳费用。</w:t>
      </w:r>
    </w:p>
    <w:p w14:paraId="68FB61A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468F719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132F708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4.缴纳规费</w:t>
      </w:r>
    </w:p>
    <w:p w14:paraId="5A7087D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申请人收到缴费通知书后在规定时间内缴纳费用。</w:t>
      </w:r>
    </w:p>
    <w:p w14:paraId="6DF815BB">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通过网上方式提交申请的，可通过商标网上申请系统进行在线支付；申请人递交纸件申请的，登录注册网上申请平台在线支付（直接在窗口交文的，可持带有缴费码的缴费通知书到窗口缴费）。申请人委托代理机构办理的，由接受委托的代理机构按规定代为缴纳费用；（</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"https://sbj.cnipa.gov.cn/sbj/sbsq/sqzn/201912/t20191227_611.html"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https://sbj.cnipa.gov.cn/sbj/sbsq/sqzn/201912/t2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"https://sbj.cnipa.gov.cn/sbj/sbsq/sqzn/201912/t20191227_611.html"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0191227_611.html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1CF5A9E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5.注册申请实质审查</w:t>
      </w:r>
    </w:p>
    <w:p w14:paraId="348827D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按期足额缴纳费用的，递交国家知识产权局商标局对申请文件予以受理，进行实质审查。</w:t>
      </w:r>
    </w:p>
    <w:p w14:paraId="77C56C2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6.初步审定公告</w:t>
      </w:r>
    </w:p>
    <w:p w14:paraId="4E5A1DA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经实质审查符合规定的，予以初步审定公告。</w:t>
      </w:r>
    </w:p>
    <w:p w14:paraId="0C1BACA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7.发放商标注册证</w:t>
      </w:r>
    </w:p>
    <w:p w14:paraId="39B30A7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公告期满无异议的，核准注册，发放商标注册证。</w:t>
      </w:r>
    </w:p>
    <w:p w14:paraId="3A8F18B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03AAEB9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1.网络查询</w:t>
      </w:r>
    </w:p>
    <w:p w14:paraId="114793B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）“商标网上查询”栏目进行查询；</w:t>
      </w:r>
    </w:p>
    <w:p w14:paraId="095B5A9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2.现场查询：国家知识产权局商标业务烟台受理窗口。</w:t>
      </w:r>
    </w:p>
    <w:p w14:paraId="00CF9B9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（六）办结时限</w:t>
      </w:r>
    </w:p>
    <w:p w14:paraId="02BD65C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办理当日递交国家知识产权局商标局。</w:t>
      </w:r>
    </w:p>
    <w:p w14:paraId="0C90076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761E220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45BCC32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534A872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1.符合要求：予以受理并递交国家知识产权局商标局；</w:t>
      </w:r>
    </w:p>
    <w:p w14:paraId="3B5C524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2.不符合要求：不予受理，并说明理由。</w:t>
      </w:r>
    </w:p>
    <w:p w14:paraId="128D261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（八）相关表格</w:t>
      </w:r>
    </w:p>
    <w:p w14:paraId="0385024D">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《商标注册申请书》下载网址（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332D177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35B4A434">
      <w:pPr>
        <w:keepNext w:val="0"/>
        <w:keepLines w:val="0"/>
        <w:pageBreakBefore w:val="0"/>
        <w:widowControl/>
        <w:kinsoku/>
        <w:wordWrap/>
        <w:overflowPunct/>
        <w:topLinePunct w:val="0"/>
        <w:autoSpaceDE w:val="0"/>
        <w:autoSpaceDN w:val="0"/>
        <w:bidi w:val="0"/>
        <w:adjustRightInd w:val="0"/>
        <w:snapToGrid w:val="0"/>
        <w:spacing w:line="560" w:lineRule="exact"/>
        <w:jc w:val="both"/>
        <w:textAlignment w:val="baseline"/>
        <w:rPr>
          <w:rFonts w:hint="eastAsia" w:ascii="黑体" w:hAnsi="黑体" w:eastAsia="黑体" w:cs="黑体"/>
          <w:sz w:val="32"/>
          <w:szCs w:val="32"/>
        </w:rPr>
      </w:pPr>
      <w:r>
        <w:rPr>
          <w:rFonts w:hint="eastAsia" w:ascii="黑体" w:hAnsi="黑体" w:eastAsia="黑体" w:cs="黑体"/>
          <w:sz w:val="32"/>
          <w:szCs w:val="32"/>
        </w:rPr>
        <w:t>第二类：受理社会公众提交的马德里国际商标注册申请</w:t>
      </w:r>
    </w:p>
    <w:p w14:paraId="251FF8D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（一）受理条件</w:t>
      </w:r>
    </w:p>
    <w:p w14:paraId="41BA0C1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申请人必须是领土延伸至中国受保护的马德里国际商标的注册人；</w:t>
      </w:r>
    </w:p>
    <w:p w14:paraId="4241D83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在中国获得保护的马德里国际注册商标，自该商标驳回期限届满之日起，商标注册人可自行或委托商标代理机构向国家知识产权局商标局请求出具商标注册证明；</w:t>
      </w:r>
    </w:p>
    <w:p w14:paraId="285CF2D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若该商标注册人为外国人或外国企业，委托在商标局备案的商标代理机构办理。</w:t>
      </w:r>
    </w:p>
    <w:p w14:paraId="28BD9E5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7076D5B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莱山区知识产权综合服务窗口</w:t>
      </w:r>
      <w:r>
        <w:rPr>
          <w:rFonts w:hint="eastAsia" w:ascii="仿宋_GB2312" w:hAnsi="仿宋_GB2312" w:eastAsia="仿宋_GB2312" w:cs="仿宋_GB2312"/>
          <w:sz w:val="32"/>
          <w:szCs w:val="32"/>
        </w:rPr>
        <w:t>；</w:t>
      </w:r>
    </w:p>
    <w:p w14:paraId="48E8C27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1A906E0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6CA8C70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马德里国际商标出具商标注册证明申请书》、经盖章或者签字确认的居民身份证明、法人资格证明或其他组织的身份证明文件（如企业的营业执照副本、自然人的身份证/港澳居民居住证/台湾居民居住证/护照等）复印件。</w:t>
      </w:r>
    </w:p>
    <w:p w14:paraId="7AACD63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申请文件为外文的，应当附送中文译本，中文译本须经申请人或代理机构或者翻译机构签章确认。</w:t>
      </w:r>
    </w:p>
    <w:p w14:paraId="785A508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21CBC7CF">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1.填写《马德里国际商标出具商标注册证明申请书》，准备其他申请材料通过（</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）获取《马德里国际商标出具商标注册证明申请书》。</w:t>
      </w:r>
    </w:p>
    <w:p w14:paraId="3F3CEC2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4109C6A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2.提交申请</w:t>
      </w:r>
    </w:p>
    <w:p w14:paraId="6C86C96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（1）网上提交</w:t>
      </w:r>
    </w:p>
    <w:p w14:paraId="434B3435">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通过互联网登录（</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"https://sbj.cnipa.gov.cn/sbj/wssq/"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https://sbj.cnipa.gov.cn/sbj/wssq/</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）线上提交申请，具体方法详见中国商标网“网上申请”栏目；</w:t>
      </w:r>
    </w:p>
    <w:p w14:paraId="58ACC0C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（2）当面提交</w:t>
      </w:r>
    </w:p>
    <w:p w14:paraId="382D929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通过国家知识产权局商标业务烟台受理窗口提交；</w:t>
      </w:r>
    </w:p>
    <w:p w14:paraId="62D692B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（3）委托在商标局备案的商标代理机构办理</w:t>
      </w:r>
    </w:p>
    <w:p w14:paraId="06F54B1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申请人可以自愿选择任何一家在商标局备案的商标代理机构办理。所有在商标局备案的商标代理机构都公布在中国商标网（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）“商标代理”一栏中。</w:t>
      </w:r>
    </w:p>
    <w:p w14:paraId="201688E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3.缴纳规费</w:t>
      </w:r>
    </w:p>
    <w:p w14:paraId="4D0B4F7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收到缴费通知书后在规定时间内缴纳费用。申请人通过网上方式提交申请的，可通过商标网上申请系统进行在线支付；申请人递交纸件申请的，登录注册网上申请平台在线支付（直接在窗口交文的，可持带有缴费码的缴费通知书到窗口缴费）。申请人委托代理机构办理的，由接受委托的代理机构按规定代为缴纳费用。</w:t>
      </w:r>
    </w:p>
    <w:p w14:paraId="60EF615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收费标准：纸质申请50元/类；电子申请45元/类。</w:t>
      </w:r>
    </w:p>
    <w:p w14:paraId="685D5BE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4.等待审查结论</w:t>
      </w:r>
    </w:p>
    <w:p w14:paraId="4E33566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547E467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1.网络查询</w:t>
      </w:r>
    </w:p>
    <w:p w14:paraId="5488FEA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）查询；</w:t>
      </w:r>
    </w:p>
    <w:p w14:paraId="7770072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2.现场查询：国家知识产权局商标业务烟台受理窗口。</w:t>
      </w:r>
    </w:p>
    <w:p w14:paraId="610C2AD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（六）办结时限</w:t>
      </w:r>
    </w:p>
    <w:p w14:paraId="669C6F8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当日递交国家知识产权局商标局。</w:t>
      </w:r>
    </w:p>
    <w:p w14:paraId="347A87D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5FE4044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1.符合要求：递交国家知识产权局商标局出具商标注册证明；</w:t>
      </w:r>
    </w:p>
    <w:p w14:paraId="4CCED35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2.不符合要求：作出不予受理结论，告知理由。</w:t>
      </w:r>
    </w:p>
    <w:p w14:paraId="5246B33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（八）相关表格</w:t>
      </w:r>
    </w:p>
    <w:p w14:paraId="5C482C8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《马德里国际商标出具商标注册证明申请书》下载网址（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0CE33284">
      <w:pPr>
        <w:jc w:val="both"/>
        <w:rPr>
          <w:rFonts w:hint="eastAsia" w:ascii="黑体" w:hAnsi="黑体" w:eastAsia="黑体" w:cs="黑体"/>
          <w:sz w:val="32"/>
          <w:szCs w:val="32"/>
        </w:rPr>
      </w:pPr>
      <w:r>
        <w:rPr>
          <w:rFonts w:hint="eastAsia" w:ascii="仿宋_GB2312" w:hAnsi="仿宋_GB2312" w:eastAsia="仿宋_GB2312" w:cs="仿宋_GB2312"/>
          <w:sz w:val="32"/>
          <w:szCs w:val="32"/>
        </w:rPr>
        <w:br w:type="page"/>
      </w:r>
      <w:bookmarkStart w:id="27" w:name="bookmark12"/>
      <w:bookmarkEnd w:id="27"/>
      <w:bookmarkStart w:id="28" w:name="bookmark11"/>
      <w:bookmarkEnd w:id="28"/>
    </w:p>
    <w:p w14:paraId="26A28D0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lang w:eastAsia="zh-CN"/>
        </w:rPr>
      </w:pPr>
      <w:r>
        <w:rPr>
          <w:rFonts w:hint="eastAsia" w:ascii="黑体" w:hAnsi="黑体" w:eastAsia="黑体" w:cs="黑体"/>
          <w:sz w:val="32"/>
          <w:szCs w:val="32"/>
        </w:rPr>
        <w:t>五、商标变更申请</w:t>
      </w:r>
      <w:r>
        <w:rPr>
          <w:rFonts w:hint="eastAsia" w:ascii="黑体" w:hAnsi="黑体" w:eastAsia="黑体" w:cs="黑体"/>
          <w:sz w:val="32"/>
          <w:szCs w:val="32"/>
          <w:lang w:eastAsia="zh-CN"/>
        </w:rPr>
        <w:t>咨询</w:t>
      </w:r>
    </w:p>
    <w:p w14:paraId="79844F8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5DCD3C6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（一）受理条件</w:t>
      </w:r>
    </w:p>
    <w:p w14:paraId="1422202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商标申请人或商标注册人。</w:t>
      </w:r>
    </w:p>
    <w:p w14:paraId="2A4580E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572B46C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莱山区知识产权综合服务窗口</w:t>
      </w:r>
      <w:r>
        <w:rPr>
          <w:rFonts w:hint="eastAsia" w:ascii="仿宋_GB2312" w:hAnsi="仿宋_GB2312" w:eastAsia="仿宋_GB2312" w:cs="仿宋_GB2312"/>
          <w:sz w:val="32"/>
          <w:szCs w:val="32"/>
        </w:rPr>
        <w:t>；</w:t>
      </w:r>
    </w:p>
    <w:p w14:paraId="40950D4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500205C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59664E5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变更商标申请人注册人名称地址联系地址变更集体商标证明商标管理规则集体成员名单申请书》或《变更商标代理人文件接收人申请书》、经盖章或者签字确认的居民身份证明、法人资格证明或其他组织的身份证明文件（如企业的营业执照副本、自然人的身份证/港澳居民居住证/台湾居民居住证/护照等）复印件。变更注册人名称的提交登记机关出具的变更证明文件。</w:t>
      </w:r>
    </w:p>
    <w:p w14:paraId="6CB6385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申请文件为外文的，应当附送中文译本，中文译本须经申请人或代理机构或者翻译机构签章确认。</w:t>
      </w:r>
    </w:p>
    <w:p w14:paraId="344E1BB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6268750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1.通过（</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）获取申请书。</w:t>
      </w:r>
    </w:p>
    <w:p w14:paraId="24B29F9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2.提交申请</w:t>
      </w:r>
    </w:p>
    <w:p w14:paraId="5BDEFF6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（1）网上提交</w:t>
      </w:r>
    </w:p>
    <w:p w14:paraId="0781032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互联网登录（</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"https://sbj.cnipa.gov.cn/sbj/wssq/"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https://sbj.cnipa.gov.cn/sbj/wssq/</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）线上提交申请，具体方法详见中国商标网“网上申请”栏目；</w:t>
      </w:r>
    </w:p>
    <w:p w14:paraId="692C846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（2）当面提交</w:t>
      </w:r>
    </w:p>
    <w:p w14:paraId="61550E1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通过国家知识产权局商标业务烟台受理窗口提交；</w:t>
      </w:r>
    </w:p>
    <w:p w14:paraId="6375201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（3）委托在商标局备案的商标代理机构提交</w:t>
      </w:r>
    </w:p>
    <w:p w14:paraId="001C2694">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申请人可以自愿选择任何一家在国家知识产权局商标局备案的商标代理机构办理。所有在国家知识产权局商标局备案的商标代理机构都公布在中国商标网（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）“商标代理”栏目中。</w:t>
      </w:r>
    </w:p>
    <w:p w14:paraId="27535DB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3.缴纳规费</w:t>
      </w:r>
    </w:p>
    <w:p w14:paraId="34CD1CA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收到缴费通知书后在规定时间内缴纳费用。申请人通过网上方式提交申请的，可通过商标网上申请系统进行在线支付；申请人递交纸件申请的，登录注册网上申请平台在线支付（直接在窗口交文的，可持带有缴费码的缴费通知书到窗口缴费）。申请人委托代理机构办理的，由接受委托的代理机构按规定代为缴纳费用。</w:t>
      </w:r>
    </w:p>
    <w:p w14:paraId="463809ED">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收费标准：申请按类别收费，每个类别收费150元，电子申请免费。具体请见：（</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https://sbj.cnipa.gov.cn/sbj/sbsq/sqzn/201912/t201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91227_611.html）。</w:t>
      </w:r>
    </w:p>
    <w:p w14:paraId="11AC508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4.等待审查结论</w:t>
      </w:r>
    </w:p>
    <w:p w14:paraId="69D025D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539F36F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1.网络查询</w:t>
      </w:r>
    </w:p>
    <w:p w14:paraId="1EBB983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）查询；</w:t>
      </w:r>
    </w:p>
    <w:p w14:paraId="4959944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2.现场查询：国家知识产权局商标业务烟台受理窗口。</w:t>
      </w:r>
    </w:p>
    <w:p w14:paraId="3961B06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35D1256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31C7977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（六）办结时限</w:t>
      </w:r>
    </w:p>
    <w:p w14:paraId="1DA3217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一般情况下，收到材料后当日递交国家知识产权局商标局。</w:t>
      </w:r>
    </w:p>
    <w:p w14:paraId="0D8CE09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5281580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1.不予核准或视为放弃的，递交国家知识产权局后送达《不予核准通知书》或《视为放弃通知书》；</w:t>
      </w:r>
    </w:p>
    <w:p w14:paraId="037E33B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2.核准变更的，递交国家知识产权局后发送《变更证明》，刊登公告（注：变更联系地址不予公告）。</w:t>
      </w:r>
    </w:p>
    <w:p w14:paraId="577FCDD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（八）相关表格</w:t>
      </w:r>
    </w:p>
    <w:p w14:paraId="6914E59A">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《变更商标申请人注册人名称地址联系地址变更集体商标证明商标管理规则集体成员名单申请书》《变更商标代理人文件接收人申请书》。下载网址（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31291DE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sectPr>
          <w:footerReference r:id="rId9" w:type="default"/>
          <w:pgSz w:w="11910" w:h="16840"/>
          <w:pgMar w:top="1388" w:right="1448" w:bottom="1647" w:left="1684" w:header="0" w:footer="1368" w:gutter="0"/>
          <w:pgNumType w:fmt="decimal"/>
          <w:cols w:space="720" w:num="1"/>
        </w:sectPr>
      </w:pPr>
    </w:p>
    <w:p w14:paraId="24C92DB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lang w:eastAsia="zh-CN"/>
        </w:rPr>
      </w:pPr>
      <w:bookmarkStart w:id="29" w:name="bookmark13"/>
      <w:bookmarkEnd w:id="29"/>
      <w:bookmarkStart w:id="30" w:name="bookmark14"/>
      <w:bookmarkEnd w:id="30"/>
      <w:r>
        <w:rPr>
          <w:rFonts w:hint="eastAsia" w:ascii="黑体" w:hAnsi="黑体" w:eastAsia="黑体" w:cs="黑体"/>
          <w:sz w:val="32"/>
          <w:szCs w:val="32"/>
        </w:rPr>
        <w:t>六、商标更正申请</w:t>
      </w:r>
      <w:r>
        <w:rPr>
          <w:rFonts w:hint="eastAsia" w:ascii="黑体" w:hAnsi="黑体" w:eastAsia="黑体" w:cs="黑体"/>
          <w:sz w:val="32"/>
          <w:szCs w:val="32"/>
          <w:lang w:eastAsia="zh-CN"/>
        </w:rPr>
        <w:t>咨询</w:t>
      </w:r>
    </w:p>
    <w:p w14:paraId="490BF03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62BDFC4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（一）受理条件</w:t>
      </w:r>
    </w:p>
    <w:p w14:paraId="7A02DD1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商标更正的申请人应为商标申请/注册人。</w:t>
      </w:r>
    </w:p>
    <w:p w14:paraId="47AD3D1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_GB2312" w:hAnsi="楷体_GB2312" w:eastAsia="楷体_GB2312" w:cs="楷体_GB2312"/>
          <w:sz w:val="32"/>
          <w:szCs w:val="32"/>
        </w:rPr>
        <w:t>二）获取途径</w:t>
      </w:r>
    </w:p>
    <w:p w14:paraId="7AF7F90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莱山区知识产权综合服务窗口</w:t>
      </w:r>
      <w:r>
        <w:rPr>
          <w:rFonts w:hint="eastAsia" w:ascii="仿宋_GB2312" w:hAnsi="仿宋_GB2312" w:eastAsia="仿宋_GB2312" w:cs="仿宋_GB2312"/>
          <w:sz w:val="32"/>
          <w:szCs w:val="32"/>
        </w:rPr>
        <w:t>；</w:t>
      </w:r>
    </w:p>
    <w:p w14:paraId="412C38B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2FEA697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3E402CA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更正商标申请/注册事项申请书》、经盖章或者签字确认的居民身份证明、法人资格证明或其他组织的身份证明文件（如企业的营业执照副本、自然人的身份证/港澳居民居住证/台湾居民居住证/护照等）复印件。申请人提交申请时应在申请书中具体说明需要更正的内容。</w:t>
      </w:r>
    </w:p>
    <w:p w14:paraId="248637B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申请文件为外文的，应当附送中文译本，中文译本须经申请人或代理机构或者翻译机构签章确认。</w:t>
      </w:r>
    </w:p>
    <w:p w14:paraId="1509C39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7B781346">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1.填写《更正商标申请/注册事项申请书》，准备其他申请材料申请人可通过中国商标网商标申请&gt;申请书式栏目（</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）获取申请书。</w:t>
      </w:r>
    </w:p>
    <w:p w14:paraId="170197C6">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2.提交申请</w:t>
      </w:r>
    </w:p>
    <w:p w14:paraId="03EFAA69">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（1）网上提交</w:t>
      </w:r>
    </w:p>
    <w:p w14:paraId="237C2033">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通过互联网登录（</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"https://sbj.cnipa.gov.cn/sbj/wssq/"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https://sbj.cnipa.gov.cn/sbj/wssq/</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）线上提交申请。具体方法详见中国商标网“网上申请”栏目；</w:t>
      </w:r>
    </w:p>
    <w:p w14:paraId="1D0AECC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022104A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（2）当面提交</w:t>
      </w:r>
    </w:p>
    <w:p w14:paraId="31E71A0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通过国家知识产权局商标业务烟台受理窗口提交；</w:t>
      </w:r>
    </w:p>
    <w:p w14:paraId="7F7767B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（3）委托在商标局备案的商标代理机构提交</w:t>
      </w:r>
    </w:p>
    <w:p w14:paraId="41DDA5F1">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申请人可以自愿选择任何一家在国家知识产权局商标局备案的商标代理机构办理。所有在国家知识产权局商标局备案的商标代理机构都公布在中国商标网（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）“商标代理”栏目中。</w:t>
      </w:r>
    </w:p>
    <w:p w14:paraId="7C3FBC6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3.缴纳规费</w:t>
      </w:r>
    </w:p>
    <w:p w14:paraId="2A5868F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收到缴费通知书后在规定时间内缴纳费用。申请人通过网上方式提交申请的，可通过商标网上申请系统进行在线支付；申请人递交纸件申请的，登录注册网上申请平台在线支付（直接在窗口交文的，可持带有缴费码的缴费通知书到窗口缴费）。申请人委托代理机构办理的，由接受委托的代理机构按规定代为缴纳费用。</w:t>
      </w:r>
    </w:p>
    <w:p w14:paraId="5226955C">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收费标准：纸质申请150元；电子申请0元；具体可见：（</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"https://sbj.cnipa.gov.cn/sbj/sbsq/sqzn/201912/t20191227_611.html"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https://sbj.cnipa.gov.cn/sbj/sbsq/sqzn/201912/t201912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"https://sbj.cnipa.gov.cn/sbj/sbsq/sqzn/201912/t20191227_611.html"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27_611.html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16458E0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4.等待审查结论。</w:t>
      </w:r>
    </w:p>
    <w:p w14:paraId="477C482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6C23796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1.网络查询</w:t>
      </w:r>
    </w:p>
    <w:p w14:paraId="18F7ADD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）“商标网上查询”栏目进行查询；</w:t>
      </w:r>
    </w:p>
    <w:p w14:paraId="465B72D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2.现场查询：国家知识产权局商标业务烟台受理窗口。</w:t>
      </w:r>
    </w:p>
    <w:p w14:paraId="30BCDEF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32D8E77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4356302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（六）办结时限</w:t>
      </w:r>
    </w:p>
    <w:p w14:paraId="69B1C0C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一般情况下，收到材料当日内递交国家知识产权局商标局。</w:t>
      </w:r>
    </w:p>
    <w:p w14:paraId="664BA48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442CB01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1.不予核准的，递交国家知识产权局后送达《不予核准通知书》；</w:t>
      </w:r>
    </w:p>
    <w:p w14:paraId="39518E5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2.核准更正的，递交国家知识产权局后发送《核准通知书》，已经刊发初步审定公告或者注册公告的商标经更正的，刊发更正公告。</w:t>
      </w:r>
    </w:p>
    <w:p w14:paraId="514DB66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（八）相关表格</w:t>
      </w:r>
    </w:p>
    <w:p w14:paraId="490BA539">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sectPr>
          <w:footerReference r:id="rId10" w:type="default"/>
          <w:pgSz w:w="11910" w:h="16840"/>
          <w:pgMar w:top="1431" w:right="1441" w:bottom="1395" w:left="1691" w:header="0" w:footer="1116" w:gutter="0"/>
          <w:pgNumType w:fmt="decimal"/>
          <w:cols w:space="720" w:num="1"/>
        </w:sectPr>
      </w:pPr>
      <w:r>
        <w:rPr>
          <w:rFonts w:hint="eastAsia" w:ascii="仿宋_GB2312" w:hAnsi="仿宋_GB2312" w:eastAsia="仿宋_GB2312" w:cs="仿宋_GB2312"/>
          <w:sz w:val="32"/>
          <w:szCs w:val="32"/>
        </w:rPr>
        <w:t>《更正商标申请/注册事项申请书》。下载网址（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0821C47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lang w:eastAsia="zh-CN"/>
        </w:rPr>
      </w:pPr>
      <w:bookmarkStart w:id="31" w:name="bookmark15"/>
      <w:bookmarkEnd w:id="31"/>
      <w:bookmarkStart w:id="32" w:name="bookmark16"/>
      <w:bookmarkEnd w:id="32"/>
      <w:r>
        <w:rPr>
          <w:rFonts w:hint="eastAsia" w:ascii="黑体" w:hAnsi="黑体" w:eastAsia="黑体" w:cs="黑体"/>
          <w:sz w:val="32"/>
          <w:szCs w:val="32"/>
        </w:rPr>
        <w:t>七、地理标志商标注册申请</w:t>
      </w:r>
      <w:r>
        <w:rPr>
          <w:rFonts w:hint="eastAsia" w:ascii="黑体" w:hAnsi="黑体" w:eastAsia="黑体" w:cs="黑体"/>
          <w:sz w:val="32"/>
          <w:szCs w:val="32"/>
          <w:lang w:eastAsia="zh-CN"/>
        </w:rPr>
        <w:t>咨询</w:t>
      </w:r>
    </w:p>
    <w:p w14:paraId="31EBBF8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500851D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（一）受理条件</w:t>
      </w:r>
    </w:p>
    <w:p w14:paraId="7564C7A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申请人应当是当地的不以营利为目的的团体、协会或者其他组织。</w:t>
      </w:r>
    </w:p>
    <w:p w14:paraId="2076AA2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012754B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莱山区知识产权综合服务窗口</w:t>
      </w:r>
      <w:r>
        <w:rPr>
          <w:rFonts w:hint="eastAsia" w:ascii="仿宋_GB2312" w:hAnsi="仿宋_GB2312" w:eastAsia="仿宋_GB2312" w:cs="仿宋_GB2312"/>
          <w:sz w:val="32"/>
          <w:szCs w:val="32"/>
        </w:rPr>
        <w:t>；</w:t>
      </w:r>
    </w:p>
    <w:p w14:paraId="1D20AF6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246984D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3.国家知识产权局“地理标志”栏目（</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"https://www.cnipa.gov.cn/col/col1388/index.html"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https://www.cnipa.gov.cn/col/col1388/index.html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2CD8939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4791CA4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标注册申请书》，申请人主体资格证书复印件（需加盖申请人公章），地理标志所标示地区的县级以上人民政府或者主管部门授权申请人申请注册并监督管理该地理标志的文件，有关该地理标志产品客观存在及信誉情况的证明材料并加盖出具证明材料部门的公章，地理标志所标示的地域范围划分的相关文件、材料，地理标志集体商标、证明商标使用管理规则，地理标志商品的特定质量、信誉或者其他特征与当地自然因素、人文因素关系的说明，地理标志申请人具备监督检测该地理标志能力的证明材料。</w:t>
      </w:r>
    </w:p>
    <w:p w14:paraId="109B4B6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2B8D5A5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1.填写《商标注册申请书》，准备其他申请材料通过中国商标网商标申请栏目（</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）下载《商标注册申请书》。</w:t>
      </w:r>
    </w:p>
    <w:p w14:paraId="471EDCE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5F1137A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2.提交申请</w:t>
      </w:r>
    </w:p>
    <w:p w14:paraId="4BA8982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（1）网上提交</w:t>
      </w:r>
    </w:p>
    <w:p w14:paraId="2751583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通过网上服务系统提交商标注册申请材料。提交方法详见中国商标网“网上申请”栏目。商标网上服务系统网址：（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"https://sbj.cnipa.gov.cn/sbj/wssq"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https://sbj.cnipa.gov.cn/sbj/wssq</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618F306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（2）当面提交</w:t>
      </w:r>
    </w:p>
    <w:p w14:paraId="6F11612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通过国家知识产权局商标业务烟台受理窗口提交；</w:t>
      </w:r>
    </w:p>
    <w:p w14:paraId="1415931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（3）委托在商标局备案的商标代理机构办理</w:t>
      </w:r>
    </w:p>
    <w:p w14:paraId="1A39CAF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申请人可以自愿选择任何一家在国家知识产权局商标局备案的商标代理机构办理。所有在国家知识产权局商标局备案的商标代理机构都公布在中国商标网（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）“商标代理”栏目中。</w:t>
      </w:r>
    </w:p>
    <w:p w14:paraId="7551650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3.注册申请形式审查，必要时配合进行补正</w:t>
      </w:r>
    </w:p>
    <w:p w14:paraId="02C357E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递交国家知识产权局商标局后办理相关业务，并可在必要时根据要求申请人进行补正。经形式审查符合规定的，通知申请人缴纳费用。</w:t>
      </w:r>
    </w:p>
    <w:p w14:paraId="45A9464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4.缴纳规费</w:t>
      </w:r>
    </w:p>
    <w:p w14:paraId="5D285E6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收到缴费通知书后在规定时间内缴纳费用；申请人通过网上方式提交申请的，可通过商标网上申请系统进行在线支付；申请人递交纸件申请的，登录注册网上申请平台在线支付（直接在窗口交文的，可持带有缴费码的缴费通知书到窗口缴费）。申请人委托代理机构办理的，由接受委托的代理机构按规定代为缴纳费用；收费标准详见网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"https://sbj.cnipa.gov.cn/sbj/sbsq/sqzn/201912/t20191227_611.html"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https://sbj.cnipa.gov.cn/sbj/sbsq/sqzn/201912/t20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"https://sbj.cnipa.gov.cn/sbj/sbsq/sqzn/201912/t20191227_611.html"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191227_611.html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3FCBD6F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456191B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7F78C7D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网络查询通过中国商标网（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）查询办理进度。</w:t>
      </w:r>
    </w:p>
    <w:p w14:paraId="76ACD27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（六）办结时限</w:t>
      </w:r>
    </w:p>
    <w:p w14:paraId="2878F7B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一般情况下，收到材料后当日内递交国家知识产权局商标局。</w:t>
      </w:r>
    </w:p>
    <w:p w14:paraId="40D9F35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484685B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1.符合要求：对申请文件予以受理，递交国家知识产权局商标局；</w:t>
      </w:r>
    </w:p>
    <w:p w14:paraId="55BC021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2.不符合要求：不予受理。</w:t>
      </w:r>
    </w:p>
    <w:p w14:paraId="67322E9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（八）</w:t>
      </w:r>
      <w:r>
        <w:rPr>
          <w:rFonts w:hint="eastAsia" w:ascii="仿宋_GB2312" w:hAnsi="仿宋_GB2312" w:eastAsia="仿宋_GB2312" w:cs="仿宋_GB2312"/>
          <w:sz w:val="32"/>
          <w:szCs w:val="32"/>
        </w:rPr>
        <w:t>相关表格</w:t>
      </w:r>
    </w:p>
    <w:p w14:paraId="25ADA31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《商标注册申请书》。相关表格可通过中国商标网商标申请&gt;申请书式栏目（</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）获取。</w:t>
      </w:r>
    </w:p>
    <w:p w14:paraId="704A1FE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sectPr>
          <w:footerReference r:id="rId11" w:type="default"/>
          <w:pgSz w:w="11910" w:h="16840"/>
          <w:pgMar w:top="1431" w:right="1371" w:bottom="1395" w:left="1680" w:header="0" w:footer="1116" w:gutter="0"/>
          <w:pgNumType w:fmt="decimal"/>
          <w:cols w:space="720" w:num="1"/>
        </w:sectPr>
      </w:pPr>
    </w:p>
    <w:p w14:paraId="304B0E6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lang w:eastAsia="zh-CN"/>
        </w:rPr>
      </w:pPr>
      <w:bookmarkStart w:id="33" w:name="bookmark17"/>
      <w:bookmarkEnd w:id="33"/>
      <w:bookmarkStart w:id="34" w:name="bookmark18"/>
      <w:bookmarkEnd w:id="34"/>
      <w:r>
        <w:rPr>
          <w:rFonts w:hint="eastAsia" w:ascii="黑体" w:hAnsi="黑体" w:eastAsia="黑体" w:cs="黑体"/>
          <w:sz w:val="32"/>
          <w:szCs w:val="32"/>
        </w:rPr>
        <w:t>八、</w:t>
      </w:r>
      <w:bookmarkStart w:id="35" w:name="bookmark19"/>
      <w:bookmarkEnd w:id="35"/>
      <w:bookmarkStart w:id="36" w:name="bookmark20"/>
      <w:bookmarkEnd w:id="36"/>
      <w:r>
        <w:rPr>
          <w:rFonts w:hint="eastAsia" w:ascii="黑体" w:hAnsi="黑体" w:eastAsia="黑体" w:cs="黑体"/>
          <w:sz w:val="32"/>
          <w:szCs w:val="32"/>
        </w:rPr>
        <w:t>地理标志专用标志使用申请</w:t>
      </w:r>
      <w:r>
        <w:rPr>
          <w:rFonts w:hint="eastAsia" w:ascii="黑体" w:hAnsi="黑体" w:eastAsia="黑体" w:cs="黑体"/>
          <w:sz w:val="32"/>
          <w:szCs w:val="32"/>
          <w:lang w:eastAsia="zh-CN"/>
        </w:rPr>
        <w:t>咨询</w:t>
      </w:r>
    </w:p>
    <w:p w14:paraId="19211DB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515E165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（一）受理条件</w:t>
      </w:r>
    </w:p>
    <w:p w14:paraId="553DDAD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受理地理标志产品产地范围内的生产者使用地理标志专用标志申请。</w:t>
      </w:r>
    </w:p>
    <w:p w14:paraId="510FCBC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472316F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莱山区知识产权综合服务窗口</w:t>
      </w:r>
      <w:r>
        <w:rPr>
          <w:rFonts w:hint="eastAsia" w:ascii="仿宋_GB2312" w:hAnsi="仿宋_GB2312" w:eastAsia="仿宋_GB2312" w:cs="仿宋_GB2312"/>
          <w:sz w:val="32"/>
          <w:szCs w:val="32"/>
        </w:rPr>
        <w:t>；</w:t>
      </w:r>
    </w:p>
    <w:p w14:paraId="3F4D3C4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2.国家知识产权局政务服务平台“地理标志”栏目“地理标志专用标志下载”（</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"https://www.cnipa.gov.cn/col/col1395/index.html"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https://www.cnipa.gov.cn/col/col1395/index.html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3819AAF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4A44189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地理标志产品专用标志使用申请书、产地主管部门出具的产品产自特定地域范围的核验报告、申报产品地理标志标准、申报产品近2年CMA/CNAS认证的综合检验结论合格的产品检验报告、变更证明（如企业变更）。</w:t>
      </w:r>
    </w:p>
    <w:p w14:paraId="208DC03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3CC628D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1.报送申请材料</w:t>
      </w:r>
    </w:p>
    <w:p w14:paraId="1554B5D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请求人可通过国家知识产权局网站政务服务平台“地理标志”栏目下载《地理标志产品专用标志使用申请书》（</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"https://www.cnipa.gov.cn/col/col1395/index.html"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https://www.cnipa.gov.cn/col/col1395/index.html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），按要求将申请书及其他申请材料准备好，通过山东省市场监督管理局门户网站“市场监管网上服务”中的“地理标志专用标志使用申请”栏目（</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"http://nqi.amr.shandong.gov.cn:11000/dlbzwwsb/App/We"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http://nqi.amr.shandong.gov.cn:11000/dlbzwwsb/App/We</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bApp/index.html）报送至区市知识产权管理部门；</w:t>
      </w:r>
    </w:p>
    <w:p w14:paraId="61E26D2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13DF623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2.区市知识产权管理部门现场核验</w:t>
      </w:r>
    </w:p>
    <w:p w14:paraId="58CBBB9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区市知识产权管理部门对申请人生产条件进行现场核验，合格的，出具核验报告，连同其他申请材料报送市级知识产权管理部门；</w:t>
      </w:r>
    </w:p>
    <w:p w14:paraId="7FE6883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3.市级知识产权管理部门初审</w:t>
      </w:r>
    </w:p>
    <w:p w14:paraId="1070F59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市级知识产权管理部门对申请材料及申请人信用情况进行初步审查，审查合格的，出具审查报告，将所有申请材料上报省级知识产权管理部门；</w:t>
      </w:r>
    </w:p>
    <w:p w14:paraId="64D674F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4.省级知识产权管理部门审核</w:t>
      </w:r>
    </w:p>
    <w:p w14:paraId="26741CC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省级知识产权管理部门对申报的地理标志产品专用标志的使用申请进行审核，审核合格的，将相关文件、资料上报国家知识产权局。</w:t>
      </w:r>
    </w:p>
    <w:p w14:paraId="2F6B898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4DB0A8D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知识产权局负责对通过省级知识产权管理部门报送的申请进行专用标志使用审查。对于要件不齐全或不符合规定要求的，向省级知识产权管理部门发出地理标志专用标志使用申请审查意见通知书，针对用标审查相关意见可电话咨询：010-86431829。</w:t>
      </w:r>
    </w:p>
    <w:p w14:paraId="7D59CA3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（六）办理结果</w:t>
      </w:r>
    </w:p>
    <w:p w14:paraId="54C7136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1.用标审查合格的产品，由国家知识产权局注册登记后，发布地理标志专用标志使用核准公告；</w:t>
      </w:r>
    </w:p>
    <w:p w14:paraId="29AF4A8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2.对于要件不齐全、不符合规定要求的或审查企业存在经营风险的，国家知识产权局向省级知识产权管理部门发出地理标志专用标志使用申请审查意见通知书。</w:t>
      </w:r>
    </w:p>
    <w:p w14:paraId="16C2D97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4BFDB89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（七）相关表格</w:t>
      </w:r>
    </w:p>
    <w:p w14:paraId="3720302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《地理标志产品专用标志使用申请书》。</w:t>
      </w:r>
    </w:p>
    <w:p w14:paraId="44964D0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下载网址：（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"https://www.cnipa.gov.cn/col/col1395/index.html"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https://www.cn ipa.gov.cn/col/col1395/index.html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3AEB5B1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sectPr>
          <w:footerReference r:id="rId12" w:type="default"/>
          <w:pgSz w:w="11910" w:h="16840"/>
          <w:pgMar w:top="1431" w:right="1448" w:bottom="1395" w:left="1684" w:header="0" w:footer="1116" w:gutter="0"/>
          <w:pgNumType w:fmt="decimal"/>
          <w:cols w:space="720" w:num="1"/>
        </w:sectPr>
      </w:pPr>
    </w:p>
    <w:p w14:paraId="2BD3188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lang w:eastAsia="zh-CN"/>
        </w:rPr>
      </w:pPr>
      <w:bookmarkStart w:id="37" w:name="bookmark21"/>
      <w:bookmarkEnd w:id="37"/>
      <w:bookmarkStart w:id="38" w:name="bookmark22"/>
      <w:bookmarkEnd w:id="38"/>
      <w:r>
        <w:rPr>
          <w:rFonts w:hint="eastAsia" w:ascii="黑体" w:hAnsi="黑体" w:eastAsia="黑体" w:cs="黑体"/>
          <w:sz w:val="32"/>
          <w:szCs w:val="32"/>
          <w:lang w:eastAsia="zh-CN"/>
        </w:rPr>
        <w:t>九、</w:t>
      </w:r>
      <w:r>
        <w:rPr>
          <w:rFonts w:hint="eastAsia" w:ascii="黑体" w:hAnsi="黑体" w:eastAsia="黑体" w:cs="黑体"/>
          <w:sz w:val="32"/>
          <w:szCs w:val="32"/>
        </w:rPr>
        <w:t>注册商标转让或移转申请</w:t>
      </w:r>
      <w:r>
        <w:rPr>
          <w:rFonts w:hint="eastAsia" w:ascii="黑体" w:hAnsi="黑体" w:eastAsia="黑体" w:cs="黑体"/>
          <w:sz w:val="32"/>
          <w:szCs w:val="32"/>
          <w:lang w:eastAsia="zh-CN"/>
        </w:rPr>
        <w:t>咨询</w:t>
      </w:r>
    </w:p>
    <w:p w14:paraId="423AECF0">
      <w:pPr>
        <w:keepNext w:val="0"/>
        <w:keepLines w:val="0"/>
        <w:pageBreakBefore w:val="0"/>
        <w:widowControl/>
        <w:kinsoku/>
        <w:wordWrap w:val="0"/>
        <w:overflowPunct/>
        <w:topLinePunct/>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rPr>
      </w:pPr>
    </w:p>
    <w:p w14:paraId="49515B3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（一）受理条件</w:t>
      </w:r>
    </w:p>
    <w:p w14:paraId="70D667F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1.商标转让人和受让人共同提出转让；</w:t>
      </w:r>
    </w:p>
    <w:p w14:paraId="6461F5D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2.移转当事人凭有关法律文书或证明材料提交移转申请。</w:t>
      </w:r>
    </w:p>
    <w:p w14:paraId="12627B4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064D660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莱山区知识产权综合服务窗口</w:t>
      </w:r>
      <w:r>
        <w:rPr>
          <w:rFonts w:hint="eastAsia" w:ascii="仿宋_GB2312" w:hAnsi="仿宋_GB2312" w:eastAsia="仿宋_GB2312" w:cs="仿宋_GB2312"/>
          <w:sz w:val="32"/>
          <w:szCs w:val="32"/>
        </w:rPr>
        <w:t>；</w:t>
      </w:r>
    </w:p>
    <w:p w14:paraId="6885976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0E26464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62097C5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让/移转申请/注册商标申请书》、经盖章或者签字确认的转受让双方居民身份证明、法人资格证明或其他组织的身份证明文件（如企业的营业执照副本、自然人的身份证/港澳居民居住证/台湾居民居住证/护照等）复印件。受让人为内地（大陆）自然人的，还需提供证明其从事生产经营活动的主体资格证明文件（如个体工商户营业执照、农村土地承包经营合同等）。</w:t>
      </w:r>
    </w:p>
    <w:p w14:paraId="63E00DC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委托商标代理机构办理的，提交转让人和受让人双方出具的代理委托书。申请文件为外文的，应当附送中文译本，中文译本须经申请人或代理机构或者翻译机构签章确认。</w:t>
      </w:r>
    </w:p>
    <w:p w14:paraId="0489CE1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标注册人已经死亡或终止的，由继受商标的当事人一方办理移转申请。办理时，无需提交商标注册人的身份证明文件及其出具的代理委托书，但接受商标的当事人应当依法提交有关证明文件或者法律文书，证明有权利继受相应的商标权。</w:t>
      </w:r>
    </w:p>
    <w:p w14:paraId="6F783FB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6ADCE89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398CED2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590CDFD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1.填写《转让/移转申请/注册商标申请书》，准备其他申请材料申请人可通过中国商标网商标申请&gt;申请书式栏目（</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）获取申请书。</w:t>
      </w:r>
    </w:p>
    <w:p w14:paraId="7BA4B2C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2.提交申请</w:t>
      </w:r>
    </w:p>
    <w:p w14:paraId="3633098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（1）网上提交</w:t>
      </w:r>
    </w:p>
    <w:p w14:paraId="45D19F2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通过互联网登录（</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"https://sbj.cnipa.gov.cn/sbj/wssq/"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https://sbj.cnipa.gov.cn/sbj/wssq/</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）线上提交申请，具体方法详见中国商标网“网上申请”栏目；</w:t>
      </w:r>
    </w:p>
    <w:p w14:paraId="79D87B5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（2）当面提交</w:t>
      </w:r>
    </w:p>
    <w:p w14:paraId="3C1AFF8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通过国家知识产权局商标业务烟台受理窗口提交；</w:t>
      </w:r>
    </w:p>
    <w:p w14:paraId="4C692B3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（3）委托在商标局备案的商标代理机构办理</w:t>
      </w:r>
    </w:p>
    <w:p w14:paraId="692A470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申请人可以自愿选择任何一家在国家知识产权局商标局备案的商标代理机构办理。所有在国家知识产权局商标局备案的商标代理机构都公布在中国商标网（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）“商标代理”栏目中。</w:t>
      </w:r>
    </w:p>
    <w:p w14:paraId="20D5F4B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3.缴纳规费</w:t>
      </w:r>
    </w:p>
    <w:p w14:paraId="4A5C15B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申请人收到缴费通知书后在规定时间内缴纳费用。申请人通过网上方式提交申请的，可通过商标网上申请系统进行在线支付；申请人递交纸件申请的，登录注册网上申请平台在线支付（直接在窗口</w:t>
      </w:r>
      <w:r>
        <w:rPr>
          <w:rFonts w:hint="eastAsia" w:ascii="仿宋_GB2312" w:hAnsi="仿宋_GB2312" w:eastAsia="仿宋_GB2312" w:cs="仿宋_GB2312"/>
          <w:sz w:val="32"/>
          <w:szCs w:val="32"/>
          <w:lang w:eastAsia="zh-CN"/>
        </w:rPr>
        <w:t>交文</w:t>
      </w:r>
      <w:r>
        <w:rPr>
          <w:rFonts w:hint="eastAsia" w:ascii="仿宋_GB2312" w:hAnsi="仿宋_GB2312" w:eastAsia="仿宋_GB2312" w:cs="仿宋_GB2312"/>
          <w:sz w:val="32"/>
          <w:szCs w:val="32"/>
        </w:rPr>
        <w:t>的，可持带有缴费码的缴费通知书到窗口缴费）。申请人委托代理机构办理的，由接受委托的代理机构按规定代为缴纳费用。</w:t>
      </w:r>
    </w:p>
    <w:p w14:paraId="2436779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收费标准：申请按类别收费，一个类别受理转让注册商标费为500元人民币，电子申请为450元。具体请见收费标准：（</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"https://sbj.cnipa.gov.cn/sbj/sbsq/sqzn/201912/t20191227_611.html"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https://sbj.cnipa.gov.cn/sbj/sbsq/sqzn/201912/t2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"https://sbj.cnipa.gov.cn/sbj/sbsq/sqzn/201912/t20191227_611.html"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0191227_611.html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11F9C76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4.等待审查结论。</w:t>
      </w:r>
    </w:p>
    <w:p w14:paraId="5FE06E6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6DBD602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1.网络查询</w:t>
      </w:r>
    </w:p>
    <w:p w14:paraId="7150302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）“商标网上查询”栏目进行查询；</w:t>
      </w:r>
    </w:p>
    <w:p w14:paraId="0DE027F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2.现场查询：国家知识产权局商标业务烟台受理窗口。</w:t>
      </w:r>
    </w:p>
    <w:p w14:paraId="3E13FCE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（六）办结时限</w:t>
      </w:r>
    </w:p>
    <w:p w14:paraId="4B62B88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一般情况下，在收到申请材料之日当日递交国家知识产权局。</w:t>
      </w:r>
    </w:p>
    <w:p w14:paraId="5D361A8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60D16A3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1.递交国家知识产权局后不予受理的，发送《不予受理通知书》；</w:t>
      </w:r>
    </w:p>
    <w:p w14:paraId="2B25EE1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2.递交国家知识产权局后不予核准或视为放弃的，发送《不予核准通知书》或《视为放弃通知书》；</w:t>
      </w:r>
    </w:p>
    <w:p w14:paraId="5C4F9B8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3.核准转让的，递交国家知识产权局后发送转让证明，刊登公告。</w:t>
      </w:r>
    </w:p>
    <w:p w14:paraId="3617E98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（八）相关表格</w:t>
      </w:r>
    </w:p>
    <w:p w14:paraId="7292F45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《转让/移转申请/注册商标申请书》。下载网址：（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3B6CFDB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sectPr>
          <w:footerReference r:id="rId13" w:type="default"/>
          <w:pgSz w:w="11910" w:h="16840"/>
          <w:pgMar w:top="1431" w:right="1435" w:bottom="1395" w:left="1689" w:header="0" w:footer="1116" w:gutter="0"/>
          <w:pgNumType w:fmt="decimal"/>
          <w:cols w:space="720" w:num="1"/>
        </w:sectPr>
      </w:pPr>
    </w:p>
    <w:p w14:paraId="6CBF077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lang w:eastAsia="zh-CN"/>
        </w:rPr>
      </w:pPr>
      <w:bookmarkStart w:id="39" w:name="bookmark24"/>
      <w:bookmarkEnd w:id="39"/>
      <w:bookmarkStart w:id="40" w:name="bookmark23"/>
      <w:bookmarkEnd w:id="40"/>
      <w:r>
        <w:rPr>
          <w:rFonts w:hint="eastAsia" w:ascii="黑体" w:hAnsi="黑体" w:eastAsia="黑体" w:cs="黑体"/>
          <w:sz w:val="32"/>
          <w:szCs w:val="32"/>
        </w:rPr>
        <w:t>十、注册商标续展</w:t>
      </w:r>
      <w:r>
        <w:rPr>
          <w:rFonts w:hint="eastAsia" w:ascii="黑体" w:hAnsi="黑体" w:eastAsia="黑体" w:cs="黑体"/>
          <w:sz w:val="32"/>
          <w:szCs w:val="32"/>
          <w:lang w:eastAsia="zh-CN"/>
        </w:rPr>
        <w:t>咨询</w:t>
      </w:r>
    </w:p>
    <w:p w14:paraId="17E5924C">
      <w:pPr>
        <w:keepNext w:val="0"/>
        <w:keepLines w:val="0"/>
        <w:pageBreakBefore w:val="0"/>
        <w:widowControl/>
        <w:kinsoku/>
        <w:wordWrap w:val="0"/>
        <w:overflowPunct/>
        <w:topLinePunct/>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rPr>
      </w:pPr>
    </w:p>
    <w:p w14:paraId="0EAA0D0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（一）受理条件</w:t>
      </w:r>
    </w:p>
    <w:p w14:paraId="6CC23C3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1.申请主体为商标注册人。商标受让人或接受注册商标移转的当事人也可提出续展申请；</w:t>
      </w:r>
    </w:p>
    <w:p w14:paraId="72CD0E9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2.为有效的注册商标；</w:t>
      </w:r>
    </w:p>
    <w:p w14:paraId="561FB3C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3.申请日在法定期限内。</w:t>
      </w:r>
    </w:p>
    <w:p w14:paraId="660A672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53629C0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莱山区知识产权综合服务窗口</w:t>
      </w:r>
      <w:r>
        <w:rPr>
          <w:rFonts w:hint="eastAsia" w:ascii="仿宋_GB2312" w:hAnsi="仿宋_GB2312" w:eastAsia="仿宋_GB2312" w:cs="仿宋_GB2312"/>
          <w:sz w:val="32"/>
          <w:szCs w:val="32"/>
        </w:rPr>
        <w:t>；</w:t>
      </w:r>
    </w:p>
    <w:p w14:paraId="34801D5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0F8A622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20591A9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标续展注册申请书》、经盖章或者签字确认的居民身份证明、法人资格证明或其他组织的身份证明文件（如企业的营业执照副本、自然人的身份证/港澳居民居住证/台湾居民居住证/护照等）复印件。申请文件为外文的，应当附送中文译本，中文译本须经申请人或代理机构或者翻译机构签章确认。</w:t>
      </w:r>
    </w:p>
    <w:p w14:paraId="63B1535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0DC7256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1.填写《商标续展注册申请书》，准备其他申请材料申请人可通过（</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）获取申请书。</w:t>
      </w:r>
    </w:p>
    <w:p w14:paraId="79516EB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2.提交申请</w:t>
      </w:r>
    </w:p>
    <w:p w14:paraId="6966BB4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（1）网上提交</w:t>
      </w:r>
    </w:p>
    <w:p w14:paraId="7AAACD5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通过互联网登录（</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"https://sbj.cnipa.gov.cn/sbj/wssq/"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https://sbj.cnipa.gov.cn/sbj/wssq/</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）线上提交申请，具体方法详见中国商标网“网上申请”栏目；</w:t>
      </w:r>
    </w:p>
    <w:p w14:paraId="5B78DE5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（2）当面提交</w:t>
      </w:r>
    </w:p>
    <w:p w14:paraId="123DF32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通过国家知识产权局商标业务烟台受理窗口提交；</w:t>
      </w:r>
    </w:p>
    <w:p w14:paraId="05CF8C8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（3）委托在商标局备案的商标代理机构办理</w:t>
      </w:r>
    </w:p>
    <w:p w14:paraId="1BCEEDB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申请人可以自愿选择任何一家在国家知识产权局商标局备案的商标代理机构办理。所有在国家知识产权局商标局备案的商标代理机构都公布在中国商标网（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）“商标代理”栏目中。</w:t>
      </w:r>
    </w:p>
    <w:p w14:paraId="2F1D120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3.缴纳规费</w:t>
      </w:r>
    </w:p>
    <w:p w14:paraId="6A984E7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收到缴费通知书后在规定时间内缴纳费用。申请人通过网上方式提交申请的，可通过商标网上申请系统进行在线支付；申请人递交纸件申请的，登录注册网上申请平台在线支付（直接在窗口交文的，可持带有缴费码的缴费通知书到窗口缴费）。申请人委托代理机构办理的，由接受委托的代理机构按规定代为缴纳费用。</w:t>
      </w:r>
    </w:p>
    <w:p w14:paraId="5C5557F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收费标准：纸质申请500元/类；网上申请450元/类；有效期满后在六个月宽展期内提出续展注册申请的，还需缴纳延迟费，纸质申请为250元/类，网上申请225元/类。（</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"https://sbj.cnipa.gov.cn/sbj/sbsq/sqzn/201912/t20191227_611.html"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"https://sbj.cnipa.gov.cn/sbj/sbsq/sqzn/201912/t20191227_611.html"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cn/sbj/sbsq/sqzn/201912/t2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"https://sbj.cnipa.gov.cn/sbj/sbsq/sqzn/201912/t20191227_611.html"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0191227_611.html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1E9CADD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4.等待审查结论</w:t>
      </w:r>
    </w:p>
    <w:p w14:paraId="43D517C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232284D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1.网络查询</w:t>
      </w:r>
    </w:p>
    <w:p w14:paraId="387111E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）“商标网上查询”栏目进行查询；</w:t>
      </w:r>
    </w:p>
    <w:p w14:paraId="0B07FE9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2.现场查询：国家知识产权局商标业务烟台受理窗口。</w:t>
      </w:r>
    </w:p>
    <w:p w14:paraId="4CC24B5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（六）办结时限</w:t>
      </w:r>
    </w:p>
    <w:p w14:paraId="094D81B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一般情况下，在收到申请材料当日递交国家知识产权局。</w:t>
      </w:r>
    </w:p>
    <w:p w14:paraId="15AA694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1DA4E71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1.不予续展的，说明理由；</w:t>
      </w:r>
    </w:p>
    <w:p w14:paraId="610BDB6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2.核准续展的，递交国家知识产权局。</w:t>
      </w:r>
    </w:p>
    <w:p w14:paraId="0D20D95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（八）相关表格</w:t>
      </w:r>
    </w:p>
    <w:p w14:paraId="593E93D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《商标续展注册申请书》。</w:t>
      </w:r>
    </w:p>
    <w:p w14:paraId="649A23E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下载网址：（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54127CD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sectPr>
          <w:footerReference r:id="rId14" w:type="default"/>
          <w:pgSz w:w="11910" w:h="16840"/>
          <w:pgMar w:top="1431" w:right="1448" w:bottom="1396" w:left="1696" w:header="0" w:footer="1116" w:gutter="0"/>
          <w:pgNumType w:fmt="decimal"/>
          <w:cols w:space="720" w:num="1"/>
        </w:sectPr>
      </w:pPr>
    </w:p>
    <w:p w14:paraId="0B18DD6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lang w:eastAsia="zh-CN"/>
        </w:rPr>
      </w:pPr>
      <w:bookmarkStart w:id="41" w:name="bookmark25"/>
      <w:bookmarkEnd w:id="41"/>
      <w:bookmarkStart w:id="42" w:name="bookmark26"/>
      <w:bookmarkEnd w:id="42"/>
      <w:r>
        <w:rPr>
          <w:rFonts w:hint="eastAsia" w:ascii="黑体" w:hAnsi="黑体" w:eastAsia="黑体" w:cs="黑体"/>
          <w:sz w:val="32"/>
          <w:szCs w:val="32"/>
        </w:rPr>
        <w:t>十</w:t>
      </w:r>
      <w:r>
        <w:rPr>
          <w:rFonts w:hint="eastAsia" w:ascii="黑体" w:hAnsi="黑体" w:eastAsia="黑体" w:cs="黑体"/>
          <w:sz w:val="32"/>
          <w:szCs w:val="32"/>
          <w:lang w:eastAsia="zh-CN"/>
        </w:rPr>
        <w:t>一</w:t>
      </w:r>
      <w:r>
        <w:rPr>
          <w:rFonts w:hint="eastAsia" w:ascii="黑体" w:hAnsi="黑体" w:eastAsia="黑体" w:cs="黑体"/>
          <w:sz w:val="32"/>
          <w:szCs w:val="32"/>
        </w:rPr>
        <w:t>、注册商标使用许可备案</w:t>
      </w:r>
      <w:r>
        <w:rPr>
          <w:rFonts w:hint="eastAsia" w:ascii="黑体" w:hAnsi="黑体" w:eastAsia="黑体" w:cs="黑体"/>
          <w:sz w:val="32"/>
          <w:szCs w:val="32"/>
          <w:lang w:eastAsia="zh-CN"/>
        </w:rPr>
        <w:t>咨询</w:t>
      </w:r>
    </w:p>
    <w:p w14:paraId="4C58EC06">
      <w:pPr>
        <w:keepNext w:val="0"/>
        <w:keepLines w:val="0"/>
        <w:pageBreakBefore w:val="0"/>
        <w:widowControl/>
        <w:kinsoku/>
        <w:wordWrap w:val="0"/>
        <w:overflowPunct/>
        <w:topLinePunct/>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rPr>
      </w:pPr>
    </w:p>
    <w:p w14:paraId="69D2A1E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（一）受理条件</w:t>
      </w:r>
    </w:p>
    <w:p w14:paraId="42495C9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1.许可备案材料由商标注册人提交；</w:t>
      </w:r>
    </w:p>
    <w:p w14:paraId="5FFC4D8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2.许可商标为注册商标；</w:t>
      </w:r>
    </w:p>
    <w:p w14:paraId="4E37875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7194C24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莱山区知识产权综合服务窗口</w:t>
      </w:r>
      <w:r>
        <w:rPr>
          <w:rFonts w:hint="eastAsia" w:ascii="仿宋_GB2312" w:hAnsi="仿宋_GB2312" w:eastAsia="仿宋_GB2312" w:cs="仿宋_GB2312"/>
          <w:sz w:val="32"/>
          <w:szCs w:val="32"/>
        </w:rPr>
        <w:t>；</w:t>
      </w:r>
    </w:p>
    <w:p w14:paraId="496CEDC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3A64C7F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23CE1B1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《商标使用许可备案表》、经盖章或者签字确认的居民身份证明、法人资格证明或其他组织的身份证明文件（如企业的营业执照副本、自然人的身份证/港澳居民居住证/台湾居民居住证/护照等）复印件。</w:t>
      </w:r>
    </w:p>
    <w:p w14:paraId="35FF07C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申请文件为外文的，应当附送中文译本，中文译本须经申请人或代理机构或者翻译机构签章确认。</w:t>
      </w:r>
    </w:p>
    <w:p w14:paraId="5971EEB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1C09E26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1.填写《商标使用许可备案表》，准备其他申请材料申请人可通过（</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）获取申请书。</w:t>
      </w:r>
    </w:p>
    <w:p w14:paraId="105CAB0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2.提交申请</w:t>
      </w:r>
    </w:p>
    <w:p w14:paraId="4283184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（1）网上提交</w:t>
      </w:r>
    </w:p>
    <w:p w14:paraId="2A37AFF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通过互联网登录（</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"https://sbj.cnipa.gov.cn/sbj/wssq/"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https://sbj.cnipa.gov.cn/sbj/wssq/</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）线上提交申请，具体方法详见中国商标网“网上申请”栏目；</w:t>
      </w:r>
    </w:p>
    <w:p w14:paraId="3A48FA5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2D1ADA8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（2）当面提交</w:t>
      </w:r>
    </w:p>
    <w:p w14:paraId="443F478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通过国家知识产权局商标业务烟台受理窗口提交；</w:t>
      </w:r>
    </w:p>
    <w:p w14:paraId="689722A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（3）委托在商标局备案的商标代理机构办理</w:t>
      </w:r>
    </w:p>
    <w:p w14:paraId="3252571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申请人可以自愿选择任何一家在国家知识产权局商标局备案的商标代理机构办理。所有在国家知识产权局商标局备案的商标代理机构都公布在中国商标网（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）“商标代理”栏目中。</w:t>
      </w:r>
    </w:p>
    <w:p w14:paraId="1001922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3.缴纳规费</w:t>
      </w:r>
    </w:p>
    <w:p w14:paraId="4F07D34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收到缴费通知书后在规定时间内缴纳费用。申请人通过网上方式提交申请的，可通过商标网上申请系统进行在线支付；申请人递交纸件申请的，登录注册网上申请平台在线支付（直接在窗口交文的，可持带有缴费码的缴费通知书到窗口缴费）。申请人委托代理机构办理的，由接受委托的代理机构按规定代为缴纳费用。</w:t>
      </w:r>
    </w:p>
    <w:p w14:paraId="0B491D4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纸质申请150元/类；网上申请135元/类。具体见网址：</w:t>
      </w:r>
    </w:p>
    <w:p w14:paraId="7B5D7D77">
      <w:pPr>
        <w:keepNext w:val="0"/>
        <w:keepLines w:val="0"/>
        <w:pageBreakBefore w:val="0"/>
        <w:widowControl/>
        <w:kinsoku/>
        <w:wordWrap w:val="0"/>
        <w:overflowPunct/>
        <w:topLinePunct/>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"https://sbj.cnipa.gov.cn/sbj/sbsq/sqzn/201912/t20191227_611.html"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https://sbj.cnipa.gov.cn/sbj/sbsq/sqzn/201912/t2019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"https://sbj.cnipa.gov.cn/sbj/sbsq/sqzn/201912/t20191227_611.html"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1227_611.html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18A2AD3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4.等待审查结论</w:t>
      </w:r>
    </w:p>
    <w:p w14:paraId="517509F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445CB56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1.网络查询</w:t>
      </w:r>
    </w:p>
    <w:p w14:paraId="1693885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通过中国商标网（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）“商标网上查询”栏目进行查询；</w:t>
      </w:r>
    </w:p>
    <w:p w14:paraId="140E36B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2.现场查询：国家知识产权局商标业务烟台受理窗口。</w:t>
      </w:r>
    </w:p>
    <w:p w14:paraId="4EC2B6C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6D9172F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1716CA9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（六）办结时限</w:t>
      </w:r>
    </w:p>
    <w:p w14:paraId="2D23628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一般情况下，在收到备案材料当日内递交国家知识产权局。</w:t>
      </w:r>
    </w:p>
    <w:p w14:paraId="05B8C62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515C71D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1.不符合备案条件，说明理由；</w:t>
      </w:r>
    </w:p>
    <w:p w14:paraId="3A40B26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2.符合备案条件的，递交国家知识产权局。</w:t>
      </w:r>
    </w:p>
    <w:p w14:paraId="3174DA8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（八）相关表格</w:t>
      </w:r>
    </w:p>
    <w:p w14:paraId="781DA13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《商标使用许可备案表》。</w:t>
      </w:r>
    </w:p>
    <w:p w14:paraId="39220A9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下载网址：（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"https://sbj.cnipa.gov.cn/sbj/sbsq/sqss/"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https://sbj.cnipa.gov.cn/sbj/sbsq/sqss/</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15DC4A3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sectPr>
          <w:footerReference r:id="rId15" w:type="default"/>
          <w:pgSz w:w="11910" w:h="16840"/>
          <w:pgMar w:top="1431" w:right="1448" w:bottom="1393" w:left="1696" w:header="0" w:footer="1116" w:gutter="0"/>
          <w:pgNumType w:fmt="decimal"/>
          <w:cols w:space="720" w:num="1"/>
        </w:sectPr>
      </w:pPr>
    </w:p>
    <w:p w14:paraId="29B65A8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bookmarkStart w:id="43" w:name="bookmark31"/>
      <w:bookmarkEnd w:id="43"/>
      <w:bookmarkStart w:id="44" w:name="bookmark29"/>
      <w:bookmarkEnd w:id="44"/>
      <w:bookmarkStart w:id="45" w:name="bookmark30"/>
      <w:bookmarkEnd w:id="45"/>
      <w:bookmarkStart w:id="46" w:name="bookmark28"/>
      <w:bookmarkEnd w:id="46"/>
      <w:r>
        <w:rPr>
          <w:rFonts w:hint="eastAsia" w:ascii="黑体" w:hAnsi="黑体" w:eastAsia="黑体" w:cs="黑体"/>
          <w:sz w:val="32"/>
          <w:szCs w:val="32"/>
        </w:rPr>
        <w:t>十</w:t>
      </w:r>
      <w:r>
        <w:rPr>
          <w:rFonts w:hint="eastAsia" w:ascii="黑体" w:hAnsi="黑体" w:eastAsia="黑体" w:cs="黑体"/>
          <w:sz w:val="32"/>
          <w:szCs w:val="32"/>
          <w:lang w:eastAsia="zh-CN"/>
        </w:rPr>
        <w:t>二</w:t>
      </w:r>
      <w:r>
        <w:rPr>
          <w:rFonts w:hint="eastAsia" w:ascii="黑体" w:hAnsi="黑体" w:eastAsia="黑体" w:cs="黑体"/>
          <w:sz w:val="32"/>
          <w:szCs w:val="32"/>
        </w:rPr>
        <w:t>、知识产权法律事务咨询和维权援助</w:t>
      </w:r>
    </w:p>
    <w:p w14:paraId="1664B5FF">
      <w:pPr>
        <w:keepNext w:val="0"/>
        <w:keepLines w:val="0"/>
        <w:pageBreakBefore w:val="0"/>
        <w:widowControl/>
        <w:kinsoku/>
        <w:wordWrap w:val="0"/>
        <w:overflowPunct/>
        <w:topLinePunct/>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rPr>
      </w:pPr>
    </w:p>
    <w:p w14:paraId="25CC567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（一）受理条件</w:t>
      </w:r>
    </w:p>
    <w:p w14:paraId="2997A1B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申请人为住所地在烟台</w:t>
      </w:r>
      <w:r>
        <w:rPr>
          <w:rFonts w:hint="eastAsia" w:ascii="仿宋_GB2312" w:hAnsi="仿宋_GB2312" w:eastAsia="仿宋_GB2312" w:cs="仿宋_GB2312"/>
          <w:sz w:val="32"/>
          <w:szCs w:val="32"/>
          <w:lang w:eastAsia="zh-CN"/>
        </w:rPr>
        <w:t>市莱山区</w:t>
      </w:r>
      <w:r>
        <w:rPr>
          <w:rFonts w:hint="eastAsia" w:ascii="仿宋_GB2312" w:hAnsi="仿宋_GB2312" w:eastAsia="仿宋_GB2312" w:cs="仿宋_GB2312"/>
          <w:sz w:val="32"/>
          <w:szCs w:val="32"/>
        </w:rPr>
        <w:t>辖区内的自然人、法人或其他组织；</w:t>
      </w:r>
    </w:p>
    <w:p w14:paraId="1051D05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申请事项为请求提供有关法律法规、争议处理、维权援助、国防专利维权援助等咨询服务。</w:t>
      </w:r>
    </w:p>
    <w:p w14:paraId="1BFDCFF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6D18D96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莱山区市场监督管理局</w:t>
      </w:r>
      <w:r>
        <w:rPr>
          <w:rFonts w:hint="eastAsia" w:ascii="仿宋_GB2312" w:hAnsi="仿宋_GB2312" w:eastAsia="仿宋_GB2312" w:cs="仿宋_GB2312"/>
          <w:sz w:val="32"/>
          <w:szCs w:val="32"/>
        </w:rPr>
        <w:t>，地址：烟台市莱山区</w:t>
      </w:r>
      <w:r>
        <w:rPr>
          <w:rFonts w:hint="eastAsia" w:ascii="仿宋_GB2312" w:hAnsi="仿宋_GB2312" w:eastAsia="仿宋_GB2312" w:cs="仿宋_GB2312"/>
          <w:sz w:val="32"/>
          <w:szCs w:val="32"/>
          <w:lang w:eastAsia="zh-CN"/>
        </w:rPr>
        <w:t>迎春大街祥隆国际大厦</w:t>
      </w:r>
      <w:r>
        <w:rPr>
          <w:rFonts w:hint="eastAsia" w:ascii="仿宋_GB2312" w:hAnsi="仿宋_GB2312" w:eastAsia="仿宋_GB2312" w:cs="仿宋_GB2312"/>
          <w:sz w:val="32"/>
          <w:szCs w:val="32"/>
          <w:lang w:val="en-US" w:eastAsia="zh-CN"/>
        </w:rPr>
        <w:t>21楼</w:t>
      </w:r>
      <w:r>
        <w:rPr>
          <w:rFonts w:hint="eastAsia" w:ascii="仿宋_GB2312" w:hAnsi="仿宋_GB2312" w:eastAsia="仿宋_GB2312" w:cs="仿宋_GB2312"/>
          <w:sz w:val="32"/>
          <w:szCs w:val="32"/>
        </w:rPr>
        <w:t>；咨询电话：0535-</w:t>
      </w:r>
      <w:r>
        <w:rPr>
          <w:rFonts w:hint="eastAsia" w:ascii="仿宋_GB2312" w:hAnsi="仿宋_GB2312" w:eastAsia="仿宋_GB2312" w:cs="仿宋_GB2312"/>
          <w:sz w:val="32"/>
          <w:szCs w:val="32"/>
          <w:lang w:val="en-US" w:eastAsia="zh-CN"/>
        </w:rPr>
        <w:t>6702315</w:t>
      </w:r>
      <w:r>
        <w:rPr>
          <w:rFonts w:hint="eastAsia" w:ascii="仿宋_GB2312" w:hAnsi="仿宋_GB2312" w:eastAsia="仿宋_GB2312" w:cs="仿宋_GB2312"/>
          <w:sz w:val="32"/>
          <w:szCs w:val="32"/>
        </w:rPr>
        <w:t>；</w:t>
      </w:r>
    </w:p>
    <w:p w14:paraId="201AC19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2.烟台市知识产权运营公共服务平台（</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"https://ytips.com.cn/index.html"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https://ytips.com.cn/index.html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2837DD7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3.中国知识产权维权援助网（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"http://www.ipwq.cn/online_pc"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http://www.ipwq.cn/online_pc</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2B8EBFA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564A8D5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1.烟台市知识产权维权援助申请表。该表格可通过“烟台市知识产权保护中心”微信公众号“业务办理-维权援助”栏获取。</w:t>
      </w:r>
    </w:p>
    <w:p w14:paraId="4E6CDC9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2.申请人为单位的需提交营业执照副本和法定代表人证明，申请人为个人的需提交身份证复印件。</w:t>
      </w:r>
    </w:p>
    <w:p w14:paraId="5907B16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3.与案件有关的材料（如：案件情况说明、知识产权有效性证明、其他相关证明材料等）。</w:t>
      </w:r>
    </w:p>
    <w:p w14:paraId="5B31752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59AE410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36AA8FE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356A0B4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（四）办理流程</w:t>
      </w:r>
    </w:p>
    <w:p w14:paraId="6F5DC32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anchor distT="0" distB="0" distL="0" distR="0" simplePos="0" relativeHeight="251659264" behindDoc="0" locked="0" layoutInCell="1" allowOverlap="1">
            <wp:simplePos x="0" y="0"/>
            <wp:positionH relativeFrom="column">
              <wp:posOffset>459105</wp:posOffset>
            </wp:positionH>
            <wp:positionV relativeFrom="paragraph">
              <wp:posOffset>340995</wp:posOffset>
            </wp:positionV>
            <wp:extent cx="3528695" cy="3217545"/>
            <wp:effectExtent l="0" t="0" r="14605" b="1905"/>
            <wp:wrapSquare wrapText="bothSides"/>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0"/>
                    <a:stretch>
                      <a:fillRect/>
                    </a:stretch>
                  </pic:blipFill>
                  <pic:spPr>
                    <a:xfrm>
                      <a:off x="0" y="0"/>
                      <a:ext cx="3528695" cy="3217545"/>
                    </a:xfrm>
                    <a:prstGeom prst="rect">
                      <a:avLst/>
                    </a:prstGeom>
                  </pic:spPr>
                </pic:pic>
              </a:graphicData>
            </a:graphic>
          </wp:anchor>
        </w:drawing>
      </w:r>
    </w:p>
    <w:p w14:paraId="03946E9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452A781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72A091C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009573A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774CD85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47AC277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598FECD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39A20128">
      <w:pPr>
        <w:keepNext w:val="0"/>
        <w:keepLines w:val="0"/>
        <w:pageBreakBefore w:val="0"/>
        <w:widowControl/>
        <w:kinsoku/>
        <w:wordWrap w:val="0"/>
        <w:overflowPunct/>
        <w:topLinePunct/>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rPr>
      </w:pPr>
    </w:p>
    <w:p w14:paraId="3607659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2F4D16C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5020672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6011BAC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1.网络查询</w:t>
      </w:r>
    </w:p>
    <w:p w14:paraId="518C957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烟台市知识产权运营公共服务平台（https://ytips.com.cn/index.html）或者中国知识产权维权援助网（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"http://www.ipwq.cn/online_pc"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http://www.ipwq.cn/online_pc</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）提出维权援助请求的，请求人可通过办理系统查询办理进度；</w:t>
      </w:r>
    </w:p>
    <w:p w14:paraId="53EADF9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2.电话咨询：0535-6722516；</w:t>
      </w:r>
    </w:p>
    <w:p w14:paraId="0883DF6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3.电子邮件咨询：wqyz@yt.shandong.cn；</w:t>
      </w:r>
    </w:p>
    <w:p w14:paraId="58BE0F0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4.当面咨询：烟台市知识产权保护中心服务窗口（烟台市莱山区山海南路117号内1号）。</w:t>
      </w:r>
    </w:p>
    <w:p w14:paraId="5E8A817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（六）办结时限</w:t>
      </w:r>
    </w:p>
    <w:p w14:paraId="1B39348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自受理后7个工作日内结案。</w:t>
      </w:r>
    </w:p>
    <w:p w14:paraId="036CA7F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480E2AF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146B52D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1.符合要求：向申请人出具《知识产权维权援助咨询意见》；</w:t>
      </w:r>
    </w:p>
    <w:p w14:paraId="716F53B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2.不符合要求：退回请求材料，告知存在的问题。</w:t>
      </w:r>
    </w:p>
    <w:p w14:paraId="5ACBB2E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（八）相关表格</w:t>
      </w:r>
    </w:p>
    <w:p w14:paraId="68909E8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sectPr>
          <w:footerReference r:id="rId16" w:type="default"/>
          <w:pgSz w:w="11906" w:h="16839"/>
          <w:pgMar w:top="1431" w:right="1475" w:bottom="1222" w:left="1602" w:header="0" w:footer="944" w:gutter="0"/>
          <w:pgNumType w:fmt="decimal"/>
          <w:cols w:space="720" w:num="1"/>
        </w:sectPr>
      </w:pPr>
      <w:r>
        <w:rPr>
          <w:rFonts w:hint="eastAsia" w:ascii="仿宋_GB2312" w:hAnsi="仿宋_GB2312" w:eastAsia="仿宋_GB2312" w:cs="仿宋_GB2312"/>
          <w:sz w:val="32"/>
          <w:szCs w:val="32"/>
        </w:rPr>
        <w:t>《烟台市知识产权维权援助申请表》，该表格可通过“烟台市知识产权保护中心”微信公众号“业务办理-维权援助”栏获取。</w:t>
      </w:r>
    </w:p>
    <w:p w14:paraId="2191F16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bookmarkStart w:id="47" w:name="bookmark33"/>
      <w:bookmarkEnd w:id="47"/>
      <w:r>
        <w:rPr>
          <w:rFonts w:hint="eastAsia" w:ascii="黑体" w:hAnsi="黑体" w:eastAsia="黑体" w:cs="黑体"/>
          <w:sz w:val="32"/>
          <w:szCs w:val="32"/>
        </w:rPr>
        <w:t>十</w:t>
      </w:r>
      <w:r>
        <w:rPr>
          <w:rFonts w:hint="eastAsia" w:ascii="黑体" w:hAnsi="黑体" w:eastAsia="黑体" w:cs="黑体"/>
          <w:sz w:val="32"/>
          <w:szCs w:val="32"/>
          <w:lang w:eastAsia="zh-CN"/>
        </w:rPr>
        <w:t>三</w:t>
      </w:r>
      <w:r>
        <w:rPr>
          <w:rFonts w:hint="eastAsia" w:ascii="黑体" w:hAnsi="黑体" w:eastAsia="黑体" w:cs="黑体"/>
          <w:sz w:val="32"/>
          <w:szCs w:val="32"/>
        </w:rPr>
        <w:t>、海外知识产权维权援助服务</w:t>
      </w:r>
    </w:p>
    <w:p w14:paraId="5E5C8041">
      <w:pPr>
        <w:keepNext w:val="0"/>
        <w:keepLines w:val="0"/>
        <w:pageBreakBefore w:val="0"/>
        <w:widowControl/>
        <w:kinsoku/>
        <w:wordWrap w:val="0"/>
        <w:overflowPunct/>
        <w:topLinePunct/>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rPr>
      </w:pPr>
    </w:p>
    <w:p w14:paraId="41C27D4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（一）受理条件</w:t>
      </w:r>
    </w:p>
    <w:p w14:paraId="1AF21EF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申请人为住所地在烟台</w:t>
      </w:r>
      <w:r>
        <w:rPr>
          <w:rFonts w:hint="eastAsia" w:ascii="仿宋_GB2312" w:hAnsi="仿宋_GB2312" w:eastAsia="仿宋_GB2312" w:cs="仿宋_GB2312"/>
          <w:sz w:val="32"/>
          <w:szCs w:val="32"/>
          <w:lang w:eastAsia="zh-CN"/>
        </w:rPr>
        <w:t>市莱山区</w:t>
      </w:r>
      <w:r>
        <w:rPr>
          <w:rFonts w:hint="eastAsia" w:ascii="仿宋_GB2312" w:hAnsi="仿宋_GB2312" w:eastAsia="仿宋_GB2312" w:cs="仿宋_GB2312"/>
          <w:sz w:val="32"/>
          <w:szCs w:val="32"/>
        </w:rPr>
        <w:t>辖区内的自然人、法人或其他组织；</w:t>
      </w:r>
    </w:p>
    <w:p w14:paraId="43C19FB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申请事项为请求提供有关法律法规、争议处理、维权援助、国防专利维权援助等咨询服务。</w:t>
      </w:r>
    </w:p>
    <w:p w14:paraId="47A7A3A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0CC6C90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莱山区市场监督管理局</w:t>
      </w:r>
      <w:r>
        <w:rPr>
          <w:rFonts w:hint="eastAsia" w:ascii="仿宋_GB2312" w:hAnsi="仿宋_GB2312" w:eastAsia="仿宋_GB2312" w:cs="仿宋_GB2312"/>
          <w:sz w:val="32"/>
          <w:szCs w:val="32"/>
        </w:rPr>
        <w:t>，地址：烟台市莱山区</w:t>
      </w:r>
      <w:r>
        <w:rPr>
          <w:rFonts w:hint="eastAsia" w:ascii="仿宋_GB2312" w:hAnsi="仿宋_GB2312" w:eastAsia="仿宋_GB2312" w:cs="仿宋_GB2312"/>
          <w:sz w:val="32"/>
          <w:szCs w:val="32"/>
          <w:lang w:eastAsia="zh-CN"/>
        </w:rPr>
        <w:t>迎春大街祥隆国际大厦</w:t>
      </w:r>
      <w:r>
        <w:rPr>
          <w:rFonts w:hint="eastAsia" w:ascii="仿宋_GB2312" w:hAnsi="仿宋_GB2312" w:eastAsia="仿宋_GB2312" w:cs="仿宋_GB2312"/>
          <w:sz w:val="32"/>
          <w:szCs w:val="32"/>
          <w:lang w:val="en-US" w:eastAsia="zh-CN"/>
        </w:rPr>
        <w:t>21楼</w:t>
      </w:r>
      <w:r>
        <w:rPr>
          <w:rFonts w:hint="eastAsia" w:ascii="仿宋_GB2312" w:hAnsi="仿宋_GB2312" w:eastAsia="仿宋_GB2312" w:cs="仿宋_GB2312"/>
          <w:sz w:val="32"/>
          <w:szCs w:val="32"/>
        </w:rPr>
        <w:t>；咨询电话：0535-</w:t>
      </w:r>
      <w:r>
        <w:rPr>
          <w:rFonts w:hint="eastAsia" w:ascii="仿宋_GB2312" w:hAnsi="仿宋_GB2312" w:eastAsia="仿宋_GB2312" w:cs="仿宋_GB2312"/>
          <w:sz w:val="32"/>
          <w:szCs w:val="32"/>
          <w:lang w:val="en-US" w:eastAsia="zh-CN"/>
        </w:rPr>
        <w:t>6702315</w:t>
      </w:r>
      <w:r>
        <w:rPr>
          <w:rFonts w:hint="eastAsia" w:ascii="仿宋_GB2312" w:hAnsi="仿宋_GB2312" w:eastAsia="仿宋_GB2312" w:cs="仿宋_GB2312"/>
          <w:sz w:val="32"/>
          <w:szCs w:val="32"/>
        </w:rPr>
        <w:t>；</w:t>
      </w:r>
    </w:p>
    <w:p w14:paraId="2E5903F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2.烟台市知识产权运营公共服务平台（</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"https://ytips.com.cn/index.html"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https://ytips.com.cn/index.html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3654335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78C5DEC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1.海外知识产权纠纷应对指导烟台分中心纠纷应对指导申请书。该表格可通过“烟台市知识产权保护中心”微信公众号“业务办理-维权援助”栏获取。</w:t>
      </w:r>
    </w:p>
    <w:p w14:paraId="46F70AE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2.申请人为单位的需提交营业执照副本和法定代表人证明，申请人为个人的需提交身份证复印件。</w:t>
      </w:r>
    </w:p>
    <w:p w14:paraId="0CC7ACC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3.与案件有关的材料（如：案件情况说明、知识产权有效性证明、其他相关证明材料等）；</w:t>
      </w:r>
    </w:p>
    <w:p w14:paraId="2AD7A86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0AC485F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6EDEC82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19883AC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30331D6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4EBBC2E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6ADD79A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anchor distT="0" distB="0" distL="0" distR="0" simplePos="0" relativeHeight="251660288" behindDoc="0" locked="0" layoutInCell="1" allowOverlap="1">
            <wp:simplePos x="0" y="0"/>
            <wp:positionH relativeFrom="column">
              <wp:posOffset>416560</wp:posOffset>
            </wp:positionH>
            <wp:positionV relativeFrom="paragraph">
              <wp:posOffset>306705</wp:posOffset>
            </wp:positionV>
            <wp:extent cx="3838575" cy="3081020"/>
            <wp:effectExtent l="0" t="0" r="0" b="0"/>
            <wp:wrapSquare wrapText="bothSides"/>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1"/>
                    <a:stretch>
                      <a:fillRect/>
                    </a:stretch>
                  </pic:blipFill>
                  <pic:spPr>
                    <a:xfrm>
                      <a:off x="0" y="0"/>
                      <a:ext cx="3838955" cy="3081527"/>
                    </a:xfrm>
                    <a:prstGeom prst="rect">
                      <a:avLst/>
                    </a:prstGeom>
                  </pic:spPr>
                </pic:pic>
              </a:graphicData>
            </a:graphic>
          </wp:anchor>
        </w:drawing>
      </w:r>
    </w:p>
    <w:p w14:paraId="229B5DF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4A3E262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48D7615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069E3DB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628E3F6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199E282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7044512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09B3E81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2195959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2A792A9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54EC0F8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30A59B8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1.网络查询</w:t>
      </w:r>
    </w:p>
    <w:p w14:paraId="2D453CA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烟台市知识产权运营公共服务平台（https://ytips.com.cn/index.html）提出维权援助请求的，请求人可通过办理系统查询办理进度；</w:t>
      </w:r>
    </w:p>
    <w:p w14:paraId="7E6E8E0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2.电话咨询：0535-6722516；</w:t>
      </w:r>
    </w:p>
    <w:p w14:paraId="4506214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3.电子邮件咨询：wqyz@yt.shandong.cn；</w:t>
      </w:r>
    </w:p>
    <w:p w14:paraId="255594E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4.当面咨询：烟台市知识产权保护中心服务窗口（烟台市莱山区山海南路117号内1号）；</w:t>
      </w:r>
    </w:p>
    <w:p w14:paraId="610EF7B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（六）办结时限</w:t>
      </w:r>
    </w:p>
    <w:p w14:paraId="79C34EA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自受理后21个工作日内结案。</w:t>
      </w:r>
    </w:p>
    <w:p w14:paraId="43D21D3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6BFF2EB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51DFDDA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3CEB3AA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1.符合要求：向申请人出具《海外纠纷应对指导意见》</w:t>
      </w:r>
      <w:r>
        <w:rPr>
          <w:rFonts w:hint="eastAsia" w:ascii="仿宋_GB2312" w:hAnsi="仿宋_GB2312" w:eastAsia="仿宋_GB2312" w:cs="仿宋_GB2312"/>
          <w:sz w:val="32"/>
          <w:szCs w:val="32"/>
          <w:lang w:eastAsia="zh-CN"/>
        </w:rPr>
        <w:t>；</w:t>
      </w:r>
    </w:p>
    <w:p w14:paraId="4E4BA8C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2.不符合要求：退回请求材料，告知存在的问题。</w:t>
      </w:r>
    </w:p>
    <w:p w14:paraId="09E1208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（八）相关表格</w:t>
      </w:r>
    </w:p>
    <w:p w14:paraId="2A03FEA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《海外知识产权纠纷应对指导烟台分中心纠纷应对指导申</w:t>
      </w:r>
    </w:p>
    <w:p w14:paraId="42C24B6A">
      <w:pPr>
        <w:keepNext w:val="0"/>
        <w:keepLines w:val="0"/>
        <w:pageBreakBefore w:val="0"/>
        <w:widowControl/>
        <w:kinsoku/>
        <w:wordWrap w:val="0"/>
        <w:overflowPunct/>
        <w:topLinePunct/>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请书》，该表格可通过“烟台市知识产权保护中心”微信公众号“业务办理-维权援助”栏获取。</w:t>
      </w:r>
    </w:p>
    <w:p w14:paraId="09F0A2A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sectPr>
          <w:footerReference r:id="rId17" w:type="default"/>
          <w:pgSz w:w="11906" w:h="16839"/>
          <w:pgMar w:top="1431" w:right="1475" w:bottom="1222" w:left="1598" w:header="0" w:footer="944" w:gutter="0"/>
          <w:pgNumType w:fmt="decimal"/>
          <w:cols w:space="720" w:num="1"/>
        </w:sectPr>
      </w:pPr>
    </w:p>
    <w:p w14:paraId="2718244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bookmarkStart w:id="48" w:name="bookmark35"/>
      <w:bookmarkEnd w:id="48"/>
      <w:r>
        <w:rPr>
          <w:rFonts w:hint="eastAsia" w:ascii="黑体" w:hAnsi="黑体" w:eastAsia="黑体" w:cs="黑体"/>
          <w:sz w:val="32"/>
          <w:szCs w:val="32"/>
        </w:rPr>
        <w:t>十</w:t>
      </w:r>
      <w:r>
        <w:rPr>
          <w:rFonts w:hint="eastAsia" w:ascii="黑体" w:hAnsi="黑体" w:eastAsia="黑体" w:cs="黑体"/>
          <w:sz w:val="32"/>
          <w:szCs w:val="32"/>
          <w:lang w:eastAsia="zh-CN"/>
        </w:rPr>
        <w:t>四</w:t>
      </w:r>
      <w:r>
        <w:rPr>
          <w:rFonts w:hint="eastAsia" w:ascii="黑体" w:hAnsi="黑体" w:eastAsia="黑体" w:cs="黑体"/>
          <w:sz w:val="32"/>
          <w:szCs w:val="32"/>
        </w:rPr>
        <w:t>、知识产权纠纷人民调解服务</w:t>
      </w:r>
    </w:p>
    <w:p w14:paraId="422454F6">
      <w:pPr>
        <w:keepNext w:val="0"/>
        <w:keepLines w:val="0"/>
        <w:pageBreakBefore w:val="0"/>
        <w:widowControl/>
        <w:kinsoku/>
        <w:wordWrap w:val="0"/>
        <w:overflowPunct/>
        <w:topLinePunct/>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rPr>
      </w:pPr>
    </w:p>
    <w:p w14:paraId="30A3B4D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（一）受理条件</w:t>
      </w:r>
    </w:p>
    <w:p w14:paraId="2514283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申请人申请调解，符合以下条件的，烟台市知识产权纠纷人民调解委员会</w:t>
      </w:r>
      <w:r>
        <w:rPr>
          <w:rFonts w:hint="eastAsia" w:ascii="仿宋_GB2312" w:hAnsi="仿宋_GB2312" w:eastAsia="仿宋_GB2312" w:cs="仿宋_GB2312"/>
          <w:sz w:val="32"/>
          <w:szCs w:val="32"/>
          <w:lang w:eastAsia="zh-CN"/>
        </w:rPr>
        <w:t>莱山工作室</w:t>
      </w:r>
      <w:r>
        <w:rPr>
          <w:rFonts w:hint="eastAsia" w:ascii="仿宋_GB2312" w:hAnsi="仿宋_GB2312" w:eastAsia="仿宋_GB2312" w:cs="仿宋_GB2312"/>
          <w:sz w:val="32"/>
          <w:szCs w:val="32"/>
        </w:rPr>
        <w:t>予以受理：</w:t>
      </w:r>
    </w:p>
    <w:p w14:paraId="5DB55EB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a)有明确的被申请人；</w:t>
      </w:r>
    </w:p>
    <w:p w14:paraId="0C86B1C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b)有具体的调解要求；</w:t>
      </w:r>
    </w:p>
    <w:p w14:paraId="1102529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c)有提出调解申请的事实理由；</w:t>
      </w:r>
    </w:p>
    <w:p w14:paraId="5DA98FD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d)属于本调解组织受理范围。</w:t>
      </w:r>
    </w:p>
    <w:p w14:paraId="1501934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有下列情形之一的，不予受理：</w:t>
      </w:r>
    </w:p>
    <w:p w14:paraId="7A01DEE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a)不属于调解组织受理范围的；</w:t>
      </w:r>
    </w:p>
    <w:p w14:paraId="1935B58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b)人民法院、仲裁机构、知识产权行政管理部门已经受理或者解决的，但上述单位移送委托调解的除外；</w:t>
      </w:r>
    </w:p>
    <w:p w14:paraId="44166C9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c)法律法规规定只能由专门机关管辖处理的，或者法律法规禁止采用民间调解方式解决的；</w:t>
      </w:r>
    </w:p>
    <w:p w14:paraId="1EB5332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d)调解申请无具体相对人，或者无具体纠纷事项，或者当事人不能提供证据证明诉求的；</w:t>
      </w:r>
    </w:p>
    <w:p w14:paraId="1ACB4DE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e)相关当事人拒绝调解的；</w:t>
      </w:r>
    </w:p>
    <w:p w14:paraId="1BC9A52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f)其他不宜由人民调解组织调解的。</w:t>
      </w:r>
    </w:p>
    <w:p w14:paraId="20577E2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（二）获取途径</w:t>
      </w:r>
    </w:p>
    <w:p w14:paraId="71A2DE1F">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莱山区市场监督管理局</w:t>
      </w:r>
      <w:r>
        <w:rPr>
          <w:rFonts w:hint="eastAsia" w:ascii="仿宋_GB2312" w:hAnsi="仿宋_GB2312" w:eastAsia="仿宋_GB2312" w:cs="仿宋_GB2312"/>
          <w:sz w:val="32"/>
          <w:szCs w:val="32"/>
        </w:rPr>
        <w:t>，地址：烟台市莱山区</w:t>
      </w:r>
      <w:r>
        <w:rPr>
          <w:rFonts w:hint="eastAsia" w:ascii="仿宋_GB2312" w:hAnsi="仿宋_GB2312" w:eastAsia="仿宋_GB2312" w:cs="仿宋_GB2312"/>
          <w:sz w:val="32"/>
          <w:szCs w:val="32"/>
          <w:lang w:eastAsia="zh-CN"/>
        </w:rPr>
        <w:t>迎春大街祥隆国际大厦</w:t>
      </w:r>
      <w:r>
        <w:rPr>
          <w:rFonts w:hint="eastAsia" w:ascii="仿宋_GB2312" w:hAnsi="仿宋_GB2312" w:eastAsia="仿宋_GB2312" w:cs="仿宋_GB2312"/>
          <w:sz w:val="32"/>
          <w:szCs w:val="32"/>
          <w:lang w:val="en-US" w:eastAsia="zh-CN"/>
        </w:rPr>
        <w:t>21楼</w:t>
      </w:r>
      <w:r>
        <w:rPr>
          <w:rFonts w:hint="eastAsia" w:ascii="仿宋_GB2312" w:hAnsi="仿宋_GB2312" w:eastAsia="仿宋_GB2312" w:cs="仿宋_GB2312"/>
          <w:sz w:val="32"/>
          <w:szCs w:val="32"/>
        </w:rPr>
        <w:t>；咨询电话：0535-</w:t>
      </w:r>
      <w:r>
        <w:rPr>
          <w:rFonts w:hint="eastAsia" w:ascii="仿宋_GB2312" w:hAnsi="仿宋_GB2312" w:eastAsia="仿宋_GB2312" w:cs="仿宋_GB2312"/>
          <w:sz w:val="32"/>
          <w:szCs w:val="32"/>
          <w:lang w:val="en-US" w:eastAsia="zh-CN"/>
        </w:rPr>
        <w:t>6702315</w:t>
      </w:r>
      <w:r>
        <w:rPr>
          <w:rFonts w:hint="eastAsia" w:ascii="仿宋_GB2312" w:hAnsi="仿宋_GB2312" w:eastAsia="仿宋_GB2312" w:cs="仿宋_GB2312"/>
          <w:sz w:val="32"/>
          <w:szCs w:val="32"/>
        </w:rPr>
        <w:t>；</w:t>
      </w:r>
    </w:p>
    <w:p w14:paraId="467558F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2.烟台市知识产权运营公共服务平台（</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"https://ytips.com.cn/index.html"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https://ytips.com.cn/index.html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7B617C1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p>
    <w:p w14:paraId="271E718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（三）申请材料</w:t>
      </w:r>
    </w:p>
    <w:p w14:paraId="67541D3D">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1.人民调解申请书</w:t>
      </w:r>
    </w:p>
    <w:p w14:paraId="17F3ADD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2.申请人为单位的需提交营业执照副本和法定代表人证明，申请人为个人的需提交身份证复印件。</w:t>
      </w:r>
    </w:p>
    <w:p w14:paraId="6E19564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3.与案件有关的材料（如：案件情况说明、知识产权有效性证明、其他相关证明材料等）。</w:t>
      </w:r>
    </w:p>
    <w:p w14:paraId="7C42040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（四）办理流程</w:t>
      </w:r>
    </w:p>
    <w:p w14:paraId="293EC5FA">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068B042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anchor distT="0" distB="0" distL="0" distR="0" simplePos="0" relativeHeight="251661312" behindDoc="0" locked="0" layoutInCell="1" allowOverlap="1">
            <wp:simplePos x="0" y="0"/>
            <wp:positionH relativeFrom="column">
              <wp:posOffset>777875</wp:posOffset>
            </wp:positionH>
            <wp:positionV relativeFrom="paragraph">
              <wp:posOffset>136525</wp:posOffset>
            </wp:positionV>
            <wp:extent cx="3218180" cy="3103880"/>
            <wp:effectExtent l="0" t="0" r="1270" b="1270"/>
            <wp:wrapSquare wrapText="bothSides"/>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2"/>
                    <a:stretch>
                      <a:fillRect/>
                    </a:stretch>
                  </pic:blipFill>
                  <pic:spPr>
                    <a:xfrm>
                      <a:off x="0" y="0"/>
                      <a:ext cx="3218687" cy="3104388"/>
                    </a:xfrm>
                    <a:prstGeom prst="rect">
                      <a:avLst/>
                    </a:prstGeom>
                  </pic:spPr>
                </pic:pic>
              </a:graphicData>
            </a:graphic>
          </wp:anchor>
        </w:drawing>
      </w:r>
    </w:p>
    <w:p w14:paraId="3A9AE4D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62445EF5">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027B1C9E">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5F5BC352">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155BDA91">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030C7B8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0A4135F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0CB82756">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0FE31548">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0663C48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（五）办理进度查询</w:t>
      </w:r>
    </w:p>
    <w:p w14:paraId="03ADC1F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1.电话咨询：0535-6722516；</w:t>
      </w:r>
    </w:p>
    <w:p w14:paraId="6FFD96A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2.电子邮件咨询：wqyz@yt.shandong.cn；</w:t>
      </w:r>
    </w:p>
    <w:p w14:paraId="62F1A19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3.当面咨询：烟台市知识产权保护中心服务窗口（烟台市莱山区山海南路117号内1号）；</w:t>
      </w:r>
    </w:p>
    <w:p w14:paraId="2455EE94">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（六）办结时限</w:t>
      </w:r>
    </w:p>
    <w:p w14:paraId="7A45EC53">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自受理后30个工作日内结案。</w:t>
      </w:r>
    </w:p>
    <w:p w14:paraId="30C9B89B">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（七）办理结果</w:t>
      </w:r>
    </w:p>
    <w:p w14:paraId="4D610DD7">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1.符合要求：联系请求人和被请求人进行案件调解；</w:t>
      </w:r>
    </w:p>
    <w:p w14:paraId="03969110">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2.不符合要求：退回请求材料，告知存在的问题。</w:t>
      </w:r>
    </w:p>
    <w:p w14:paraId="2909F62C">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（八）相关表格</w:t>
      </w:r>
    </w:p>
    <w:p w14:paraId="72D85B59">
      <w:pPr>
        <w:keepNext w:val="0"/>
        <w:keepLines w:val="0"/>
        <w:pageBreakBefore w:val="0"/>
        <w:widowControl/>
        <w:kinsoku/>
        <w:wordWrap w:val="0"/>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《知识产权纠纷人民调解申请书》可通过“烟台市知识产权保护中心”微信公众号“业务办理-维权援助”栏获取。</w:t>
      </w:r>
    </w:p>
    <w:sectPr>
      <w:footerReference r:id="rId18" w:type="default"/>
      <w:pgSz w:w="11906" w:h="16839"/>
      <w:pgMar w:top="1431" w:right="1475" w:bottom="1220" w:left="1595" w:header="0" w:footer="94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220F4">
    <w:pPr>
      <w:tabs>
        <w:tab w:val="left" w:pos="5009"/>
      </w:tabs>
      <w:spacing w:before="1" w:line="176" w:lineRule="auto"/>
      <w:ind w:left="4074"/>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317BC7">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0D317BC7">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eastAsia" w:ascii="宋体" w:hAnsi="宋体" w:eastAsia="宋体" w:cs="宋体"/>
        <w:sz w:val="28"/>
        <w:szCs w:val="28"/>
        <w:lang w:eastAsia="zh-CN"/>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A9764">
    <w:pPr>
      <w:spacing w:line="177" w:lineRule="auto"/>
      <w:ind w:left="3916"/>
      <w:rPr>
        <w:rFonts w:ascii="宋体" w:hAnsi="宋体" w:eastAsia="宋体" w:cs="宋体"/>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46A00">
                          <w:pPr>
                            <w:pStyle w:val="3"/>
                          </w:pPr>
                          <w:r>
                            <w:t xml:space="preserve">— </w:t>
                          </w:r>
                          <w:r>
                            <w:fldChar w:fldCharType="begin"/>
                          </w:r>
                          <w:r>
                            <w:instrText xml:space="preserve"> PAGE  \* MERGEFORMAT </w:instrText>
                          </w:r>
                          <w:r>
                            <w:fldChar w:fldCharType="separate"/>
                          </w:r>
                          <w:r>
                            <w:t>36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14:paraId="0D646A00">
                    <w:pPr>
                      <w:pStyle w:val="3"/>
                    </w:pPr>
                    <w:r>
                      <w:t xml:space="preserve">— </w:t>
                    </w:r>
                    <w:r>
                      <w:fldChar w:fldCharType="begin"/>
                    </w:r>
                    <w:r>
                      <w:instrText xml:space="preserve"> PAGE  \* MERGEFORMAT </w:instrText>
                    </w:r>
                    <w:r>
                      <w:fldChar w:fldCharType="separate"/>
                    </w:r>
                    <w:r>
                      <w:t>36</w:t>
                    </w:r>
                    <w:r>
                      <w:fldChar w:fldCharType="end"/>
                    </w:r>
                    <w: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2F196">
    <w:pPr>
      <w:spacing w:line="175" w:lineRule="auto"/>
      <w:ind w:left="3916"/>
      <w:rPr>
        <w:rFonts w:ascii="宋体" w:hAnsi="宋体" w:eastAsia="宋体" w:cs="宋体"/>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7E3D0D">
                          <w:pPr>
                            <w:pStyle w:val="3"/>
                          </w:pPr>
                          <w:r>
                            <w:t xml:space="preserve">— </w:t>
                          </w:r>
                          <w:r>
                            <w:fldChar w:fldCharType="begin"/>
                          </w:r>
                          <w:r>
                            <w:instrText xml:space="preserve"> PAGE  \* MERGEFORMAT </w:instrText>
                          </w:r>
                          <w:r>
                            <w:fldChar w:fldCharType="separate"/>
                          </w:r>
                          <w:r>
                            <w:t>39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317E3D0D">
                    <w:pPr>
                      <w:pStyle w:val="3"/>
                    </w:pPr>
                    <w:r>
                      <w:t xml:space="preserve">— </w:t>
                    </w:r>
                    <w:r>
                      <w:fldChar w:fldCharType="begin"/>
                    </w:r>
                    <w:r>
                      <w:instrText xml:space="preserve"> PAGE  \* MERGEFORMAT </w:instrText>
                    </w:r>
                    <w:r>
                      <w:fldChar w:fldCharType="separate"/>
                    </w:r>
                    <w:r>
                      <w:t>39</w:t>
                    </w:r>
                    <w:r>
                      <w:fldChar w:fldCharType="end"/>
                    </w:r>
                    <w: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3B814">
    <w:pPr>
      <w:spacing w:before="1" w:line="176" w:lineRule="auto"/>
      <w:ind w:left="3995"/>
      <w:rPr>
        <w:rFonts w:ascii="宋体" w:hAnsi="宋体" w:eastAsia="宋体" w:cs="宋体"/>
        <w:sz w:val="28"/>
        <w:szCs w:val="28"/>
      </w:rPr>
    </w:pPr>
    <w:r>
      <w:rPr>
        <w:sz w:val="2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F1C437">
                          <w:pPr>
                            <w:pStyle w:val="3"/>
                          </w:pPr>
                          <w:r>
                            <w:t xml:space="preserve">— </w:t>
                          </w:r>
                          <w:r>
                            <w:fldChar w:fldCharType="begin"/>
                          </w:r>
                          <w:r>
                            <w:instrText xml:space="preserve"> PAGE  \* MERGEFORMAT </w:instrText>
                          </w:r>
                          <w:r>
                            <w:fldChar w:fldCharType="separate"/>
                          </w:r>
                          <w:r>
                            <w:t>42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76F1C437">
                    <w:pPr>
                      <w:pStyle w:val="3"/>
                    </w:pPr>
                    <w:r>
                      <w:t xml:space="preserve">— </w:t>
                    </w:r>
                    <w:r>
                      <w:fldChar w:fldCharType="begin"/>
                    </w:r>
                    <w:r>
                      <w:instrText xml:space="preserve"> PAGE  \* MERGEFORMAT </w:instrText>
                    </w:r>
                    <w:r>
                      <w:fldChar w:fldCharType="separate"/>
                    </w:r>
                    <w:r>
                      <w:t>42</w:t>
                    </w:r>
                    <w:r>
                      <w:fldChar w:fldCharType="end"/>
                    </w:r>
                    <w: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5583A">
    <w:pPr>
      <w:spacing w:before="1" w:line="176" w:lineRule="auto"/>
      <w:ind w:left="3999"/>
      <w:rPr>
        <w:rFonts w:ascii="宋体" w:hAnsi="宋体" w:eastAsia="宋体" w:cs="宋体"/>
        <w:sz w:val="28"/>
        <w:szCs w:val="28"/>
      </w:rPr>
    </w:pPr>
    <w:r>
      <w:rPr>
        <w:sz w:val="2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FF6809">
                          <w:pPr>
                            <w:pStyle w:val="3"/>
                          </w:pPr>
                          <w:r>
                            <w:t xml:space="preserve">— </w:t>
                          </w:r>
                          <w:r>
                            <w:fldChar w:fldCharType="begin"/>
                          </w:r>
                          <w:r>
                            <w:instrText xml:space="preserve"> PAGE  \* MERGEFORMAT </w:instrText>
                          </w:r>
                          <w:r>
                            <w:fldChar w:fldCharType="separate"/>
                          </w:r>
                          <w:r>
                            <w:t>45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08FF6809">
                    <w:pPr>
                      <w:pStyle w:val="3"/>
                    </w:pPr>
                    <w:r>
                      <w:t xml:space="preserve">— </w:t>
                    </w:r>
                    <w:r>
                      <w:fldChar w:fldCharType="begin"/>
                    </w:r>
                    <w:r>
                      <w:instrText xml:space="preserve"> PAGE  \* MERGEFORMAT </w:instrText>
                    </w:r>
                    <w:r>
                      <w:fldChar w:fldCharType="separate"/>
                    </w:r>
                    <w:r>
                      <w:t>45</w:t>
                    </w:r>
                    <w:r>
                      <w:fldChar w:fldCharType="end"/>
                    </w:r>
                    <w:r>
                      <w:t xml:space="preserve"> —</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A5165">
    <w:pPr>
      <w:spacing w:line="175" w:lineRule="auto"/>
      <w:ind w:left="4003"/>
      <w:rPr>
        <w:rFonts w:ascii="宋体" w:hAnsi="宋体" w:eastAsia="宋体" w:cs="宋体"/>
        <w:sz w:val="28"/>
        <w:szCs w:val="28"/>
      </w:rPr>
    </w:pPr>
    <w:r>
      <w:rPr>
        <w:sz w:val="2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D08877">
                          <w:pPr>
                            <w:pStyle w:val="3"/>
                          </w:pPr>
                          <w:r>
                            <w:t xml:space="preserve">— </w:t>
                          </w:r>
                          <w:r>
                            <w:fldChar w:fldCharType="begin"/>
                          </w:r>
                          <w:r>
                            <w:instrText xml:space="preserve"> PAGE  \* MERGEFORMAT </w:instrText>
                          </w:r>
                          <w:r>
                            <w:fldChar w:fldCharType="separate"/>
                          </w:r>
                          <w:r>
                            <w:t>48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A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lB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kgBjICAABjBAAADgAAAAAAAAABACAAAAAfAQAAZHJzL2Uyb0RvYy54bWxQSwUG&#10;AAAAAAYABgBZAQAAwwUAAAAA&#10;">
              <v:fill on="f" focussize="0,0"/>
              <v:stroke on="f" weight="0.5pt"/>
              <v:imagedata o:title=""/>
              <o:lock v:ext="edit" aspectratio="f"/>
              <v:textbox inset="0mm,0mm,0mm,0mm" style="mso-fit-shape-to-text:t;">
                <w:txbxContent>
                  <w:p w14:paraId="6FD08877">
                    <w:pPr>
                      <w:pStyle w:val="3"/>
                    </w:pPr>
                    <w:r>
                      <w:t xml:space="preserve">— </w:t>
                    </w:r>
                    <w:r>
                      <w:fldChar w:fldCharType="begin"/>
                    </w:r>
                    <w:r>
                      <w:instrText xml:space="preserve"> PAGE  \* MERGEFORMAT </w:instrText>
                    </w:r>
                    <w:r>
                      <w:fldChar w:fldCharType="separate"/>
                    </w:r>
                    <w:r>
                      <w:t>48</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00E84">
    <w:pPr>
      <w:tabs>
        <w:tab w:val="left" w:pos="5009"/>
      </w:tabs>
      <w:spacing w:before="1" w:line="176" w:lineRule="auto"/>
      <w:ind w:left="4074"/>
      <w:rPr>
        <w:rFonts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3EC21">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30E3EC21">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eastAsia" w:ascii="宋体" w:hAnsi="宋体" w:eastAsia="宋体" w:cs="宋体"/>
        <w:sz w:val="28"/>
        <w:szCs w:val="2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69DAF">
    <w:pPr>
      <w:spacing w:line="177" w:lineRule="auto"/>
      <w:ind w:left="3964"/>
      <w:rPr>
        <w:rFonts w:ascii="宋体" w:hAnsi="宋体" w:eastAsia="宋体" w:cs="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1A5BDF">
                          <w:pPr>
                            <w:pStyle w:val="3"/>
                          </w:pPr>
                          <w:r>
                            <w:t xml:space="preserve">— </w:t>
                          </w:r>
                          <w:r>
                            <w:fldChar w:fldCharType="begin"/>
                          </w:r>
                          <w:r>
                            <w:instrText xml:space="preserve"> PAGE  \* MERGEFORMAT </w:instrText>
                          </w:r>
                          <w:r>
                            <w:fldChar w:fldCharType="separate"/>
                          </w:r>
                          <w:r>
                            <w:t>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601A5BDF">
                    <w:pPr>
                      <w:pStyle w:val="3"/>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F5208">
    <w:pPr>
      <w:spacing w:line="177" w:lineRule="auto"/>
      <w:ind w:left="3915"/>
      <w:rPr>
        <w:rFonts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8A9ED0">
                          <w:pPr>
                            <w:pStyle w:val="3"/>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368A9ED0">
                    <w:pPr>
                      <w:pStyle w:val="3"/>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A7C53">
    <w:pPr>
      <w:spacing w:before="1" w:line="176" w:lineRule="auto"/>
      <w:rPr>
        <w:rFonts w:ascii="宋体" w:hAnsi="宋体" w:eastAsia="宋体" w:cs="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D8E082">
                          <w:pPr>
                            <w:pStyle w:val="3"/>
                          </w:pPr>
                          <w:r>
                            <w:t xml:space="preserve">— </w:t>
                          </w:r>
                          <w:r>
                            <w:fldChar w:fldCharType="begin"/>
                          </w:r>
                          <w:r>
                            <w:instrText xml:space="preserve"> PAGE  \* MERGEFORMAT </w:instrText>
                          </w:r>
                          <w:r>
                            <w:fldChar w:fldCharType="separate"/>
                          </w:r>
                          <w:r>
                            <w:t>15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5AD8E082">
                    <w:pPr>
                      <w:pStyle w:val="3"/>
                    </w:pPr>
                    <w:r>
                      <w:t xml:space="preserve">— </w:t>
                    </w:r>
                    <w:r>
                      <w:fldChar w:fldCharType="begin"/>
                    </w:r>
                    <w:r>
                      <w:instrText xml:space="preserve"> PAGE  \* MERGEFORMAT </w:instrText>
                    </w:r>
                    <w:r>
                      <w:fldChar w:fldCharType="separate"/>
                    </w:r>
                    <w:r>
                      <w:t>15</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2F28A">
    <w:pPr>
      <w:spacing w:before="1" w:line="176" w:lineRule="auto"/>
      <w:ind w:left="3921"/>
      <w:rPr>
        <w:rFonts w:ascii="宋体" w:hAnsi="宋体" w:eastAsia="宋体" w:cs="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FF734B">
                          <w:pPr>
                            <w:pStyle w:val="3"/>
                          </w:pPr>
                          <w:r>
                            <w:t xml:space="preserve">— </w:t>
                          </w:r>
                          <w:r>
                            <w:fldChar w:fldCharType="begin"/>
                          </w:r>
                          <w:r>
                            <w:instrText xml:space="preserve"> PAGE  \* MERGEFORMAT </w:instrText>
                          </w:r>
                          <w:r>
                            <w:fldChar w:fldCharType="separate"/>
                          </w:r>
                          <w:r>
                            <w:t>24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3DFF734B">
                    <w:pPr>
                      <w:pStyle w:val="3"/>
                    </w:pPr>
                    <w:r>
                      <w:t xml:space="preserve">— </w:t>
                    </w:r>
                    <w:r>
                      <w:fldChar w:fldCharType="begin"/>
                    </w:r>
                    <w:r>
                      <w:instrText xml:space="preserve"> PAGE  \* MERGEFORMAT </w:instrText>
                    </w:r>
                    <w:r>
                      <w:fldChar w:fldCharType="separate"/>
                    </w:r>
                    <w:r>
                      <w:t>24</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B635F">
    <w:pPr>
      <w:spacing w:before="1" w:line="176" w:lineRule="auto"/>
      <w:ind w:left="3932"/>
      <w:rPr>
        <w:rFonts w:ascii="宋体" w:hAnsi="宋体" w:eastAsia="宋体" w:cs="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67F51D">
                          <w:pPr>
                            <w:pStyle w:val="3"/>
                          </w:pPr>
                          <w:r>
                            <w:t xml:space="preserve">— </w:t>
                          </w:r>
                          <w:r>
                            <w:fldChar w:fldCharType="begin"/>
                          </w:r>
                          <w:r>
                            <w:instrText xml:space="preserve"> PAGE  \* MERGEFORMAT </w:instrText>
                          </w:r>
                          <w:r>
                            <w:fldChar w:fldCharType="separate"/>
                          </w:r>
                          <w:r>
                            <w:t>27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1D67F51D">
                    <w:pPr>
                      <w:pStyle w:val="3"/>
                    </w:pPr>
                    <w:r>
                      <w:t xml:space="preserve">— </w:t>
                    </w:r>
                    <w:r>
                      <w:fldChar w:fldCharType="begin"/>
                    </w:r>
                    <w:r>
                      <w:instrText xml:space="preserve"> PAGE  \* MERGEFORMAT </w:instrText>
                    </w:r>
                    <w:r>
                      <w:fldChar w:fldCharType="separate"/>
                    </w:r>
                    <w:r>
                      <w:t>27</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22ADB">
    <w:pPr>
      <w:spacing w:before="1" w:line="176" w:lineRule="auto"/>
      <w:ind w:left="3928"/>
      <w:rPr>
        <w:rFonts w:ascii="宋体" w:hAnsi="宋体" w:eastAsia="宋体" w:cs="宋体"/>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097C7">
                          <w:pPr>
                            <w:pStyle w:val="3"/>
                          </w:pPr>
                          <w:r>
                            <w:t xml:space="preserve">— </w:t>
                          </w:r>
                          <w:r>
                            <w:fldChar w:fldCharType="begin"/>
                          </w:r>
                          <w:r>
                            <w:instrText xml:space="preserve"> PAGE  \* MERGEFORMAT </w:instrText>
                          </w:r>
                          <w:r>
                            <w:fldChar w:fldCharType="separate"/>
                          </w:r>
                          <w:r>
                            <w:t>30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24F097C7">
                    <w:pPr>
                      <w:pStyle w:val="3"/>
                    </w:pPr>
                    <w:r>
                      <w:t xml:space="preserve">— </w:t>
                    </w:r>
                    <w:r>
                      <w:fldChar w:fldCharType="begin"/>
                    </w:r>
                    <w:r>
                      <w:instrText xml:space="preserve"> PAGE  \* MERGEFORMAT </w:instrText>
                    </w:r>
                    <w:r>
                      <w:fldChar w:fldCharType="separate"/>
                    </w:r>
                    <w:r>
                      <w:t>30</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87C09">
    <w:pPr>
      <w:spacing w:before="1" w:line="176" w:lineRule="auto"/>
      <w:ind w:left="3922"/>
      <w:rPr>
        <w:rFonts w:ascii="宋体" w:hAnsi="宋体" w:eastAsia="宋体" w:cs="宋体"/>
        <w:sz w:val="28"/>
        <w:szCs w:val="28"/>
      </w:rPr>
    </w:pPr>
    <w:r>
      <w:rPr>
        <w:sz w:val="2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FA21D4">
                          <w:pPr>
                            <w:pStyle w:val="3"/>
                          </w:pPr>
                          <w:r>
                            <w:t xml:space="preserve">— </w:t>
                          </w:r>
                          <w:r>
                            <w:fldChar w:fldCharType="begin"/>
                          </w:r>
                          <w:r>
                            <w:instrText xml:space="preserve"> PAGE  \* MERGEFORMAT </w:instrText>
                          </w:r>
                          <w:r>
                            <w:fldChar w:fldCharType="separate"/>
                          </w:r>
                          <w:r>
                            <w:t>33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14:paraId="34FA21D4">
                    <w:pPr>
                      <w:pStyle w:val="3"/>
                    </w:pPr>
                    <w:r>
                      <w:t xml:space="preserve">— </w:t>
                    </w:r>
                    <w:r>
                      <w:fldChar w:fldCharType="begin"/>
                    </w:r>
                    <w:r>
                      <w:instrText xml:space="preserve"> PAGE  \* MERGEFORMAT </w:instrText>
                    </w:r>
                    <w:r>
                      <w:fldChar w:fldCharType="separate"/>
                    </w:r>
                    <w:r>
                      <w:t>33</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3DF0EB"/>
    <w:multiLevelType w:val="singleLevel"/>
    <w:tmpl w:val="FA3DF0E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CB70B5"/>
    <w:rsid w:val="077010BF"/>
    <w:rsid w:val="314F1BC2"/>
    <w:rsid w:val="33691CEC"/>
    <w:rsid w:val="33C1667B"/>
    <w:rsid w:val="3724764D"/>
    <w:rsid w:val="3C7B58AF"/>
    <w:rsid w:val="410128B6"/>
    <w:rsid w:val="41A176E8"/>
    <w:rsid w:val="41B810BD"/>
    <w:rsid w:val="4647327A"/>
    <w:rsid w:val="51D70AF5"/>
    <w:rsid w:val="53FB3291"/>
    <w:rsid w:val="57B0389F"/>
    <w:rsid w:val="61A9520A"/>
    <w:rsid w:val="623205C0"/>
    <w:rsid w:val="66772C5B"/>
    <w:rsid w:val="70426F6D"/>
    <w:rsid w:val="71E5753C"/>
    <w:rsid w:val="721E46BD"/>
    <w:rsid w:val="754A2DBC"/>
    <w:rsid w:val="7D6739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3.jpeg"/><Relationship Id="rId21" Type="http://schemas.openxmlformats.org/officeDocument/2006/relationships/image" Target="media/image2.jpeg"/><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53</Pages>
  <Words>13085</Words>
  <Characters>15636</Characters>
  <TotalTime>297</TotalTime>
  <ScaleCrop>false</ScaleCrop>
  <LinksUpToDate>false</LinksUpToDate>
  <CharactersWithSpaces>15705</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2025-03-19T13:57:00Z</dcterms:created>
  <dc:creator>admin</dc:creator>
  <cp:lastModifiedBy>李权</cp:lastModifiedBy>
  <cp:lastPrinted>2025-07-14T02:05:00Z</cp:lastPrinted>
  <dcterms:modified xsi:type="dcterms:W3CDTF">2025-07-29T07:13:40Z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2025-06-19T10:11:05Z</vt:filetime>
  </property>
  <property fmtid="{D5CDD505-2E9C-101B-9397-08002B2CF9AE}" pid="4" name="KSOTemplateDocerSaveRecord">
    <vt:lpwstr>eyJoZGlkIjoiNTllMmQ5N2YwNTdlZjA4Mzg1NDE4YmI4YWIxMGQ1ZDciLCJ1c2VySWQiOiIxNjM2ODEwNjY3In0=</vt:lpwstr>
  </property>
  <property fmtid="{D5CDD505-2E9C-101B-9397-08002B2CF9AE}" pid="5" name="KSOProductBuildVer">
    <vt:lpwstr>2052-12.1.0.21915</vt:lpwstr>
  </property>
  <property fmtid="{D5CDD505-2E9C-101B-9397-08002B2CF9AE}" pid="6" name="ICV">
    <vt:lpwstr>F2396A3A5D944B06914556590DDCEE13_12</vt:lpwstr>
  </property>
</Properties>
</file>