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600" w:lineRule="exact"/>
        <w:jc w:val="center"/>
        <w:rPr>
          <w:rFonts w:ascii="方正小标宋简体" w:hAnsi="宋体" w:eastAsia="方正小标宋简体"/>
          <w:color w:val="000000"/>
          <w:kern w:val="0"/>
          <w:sz w:val="44"/>
          <w:szCs w:val="44"/>
        </w:rPr>
      </w:pPr>
      <w:r>
        <w:t xml:space="preserve"> </w:t>
      </w:r>
      <w:r>
        <w:rPr>
          <w:rFonts w:hint="eastAsia" w:ascii="方正小标宋简体" w:hAnsi="宋体" w:eastAsia="方正小标宋简体" w:cs="方正小标宋简体"/>
          <w:color w:val="000000"/>
          <w:kern w:val="0"/>
          <w:sz w:val="44"/>
          <w:szCs w:val="44"/>
        </w:rPr>
        <w:t>关于</w:t>
      </w:r>
      <w:r>
        <w:rPr>
          <w:rFonts w:ascii="方正小标宋简体" w:hAnsi="宋体" w:eastAsia="方正小标宋简体" w:cs="方正小标宋简体"/>
          <w:color w:val="000000"/>
          <w:kern w:val="0"/>
          <w:sz w:val="44"/>
          <w:szCs w:val="44"/>
        </w:rPr>
        <w:t>20</w:t>
      </w:r>
      <w:r>
        <w:rPr>
          <w:rFonts w:hint="eastAsia" w:ascii="方正小标宋简体" w:hAnsi="宋体" w:eastAsia="方正小标宋简体" w:cs="方正小标宋简体"/>
          <w:color w:val="000000"/>
          <w:kern w:val="0"/>
          <w:sz w:val="44"/>
          <w:szCs w:val="44"/>
          <w:lang w:val="en-US" w:eastAsia="zh-CN"/>
        </w:rPr>
        <w:t>20</w:t>
      </w:r>
      <w:r>
        <w:rPr>
          <w:rFonts w:hint="eastAsia" w:ascii="方正小标宋简体" w:hAnsi="宋体" w:eastAsia="方正小标宋简体" w:cs="方正小标宋简体"/>
          <w:color w:val="000000"/>
          <w:kern w:val="0"/>
          <w:sz w:val="44"/>
          <w:szCs w:val="44"/>
        </w:rPr>
        <w:t>年度莱山区</w:t>
      </w:r>
    </w:p>
    <w:p>
      <w:pPr>
        <w:widowControl/>
        <w:spacing w:line="600" w:lineRule="exact"/>
        <w:jc w:val="center"/>
        <w:rPr>
          <w:rFonts w:ascii="方正小标宋简体" w:hAnsi="宋体" w:eastAsia="方正小标宋简体"/>
          <w:color w:val="000000"/>
          <w:kern w:val="0"/>
          <w:sz w:val="44"/>
          <w:szCs w:val="44"/>
        </w:rPr>
      </w:pPr>
      <w:r>
        <w:rPr>
          <w:rFonts w:hint="eastAsia" w:ascii="方正小标宋简体" w:hAnsi="宋体" w:eastAsia="方正小标宋简体" w:cs="方正小标宋简体"/>
          <w:color w:val="000000"/>
          <w:kern w:val="0"/>
          <w:sz w:val="44"/>
          <w:szCs w:val="44"/>
        </w:rPr>
        <w:t>预算执行和其他财政收支审计</w:t>
      </w:r>
    </w:p>
    <w:p>
      <w:pPr>
        <w:widowControl/>
        <w:spacing w:line="600" w:lineRule="exact"/>
        <w:jc w:val="center"/>
        <w:rPr>
          <w:rFonts w:ascii="方正小标宋简体" w:hAnsi="宋体" w:eastAsia="方正小标宋简体"/>
          <w:color w:val="000000"/>
          <w:kern w:val="0"/>
          <w:sz w:val="44"/>
          <w:szCs w:val="44"/>
        </w:rPr>
      </w:pPr>
      <w:r>
        <w:rPr>
          <w:rFonts w:hint="eastAsia" w:ascii="方正小标宋简体" w:hAnsi="宋体" w:eastAsia="方正小标宋简体" w:cs="方正小标宋简体"/>
          <w:color w:val="000000"/>
          <w:kern w:val="0"/>
          <w:sz w:val="44"/>
          <w:szCs w:val="44"/>
        </w:rPr>
        <w:t>查出问题整改情况的报告</w:t>
      </w:r>
    </w:p>
    <w:p>
      <w:pPr>
        <w:widowControl/>
        <w:spacing w:line="600" w:lineRule="exact"/>
        <w:jc w:val="left"/>
        <w:rPr>
          <w:rFonts w:ascii="仿宋_GB2312" w:hAnsi="Arial"/>
          <w:color w:val="000000"/>
          <w:kern w:val="0"/>
        </w:rPr>
      </w:pPr>
    </w:p>
    <w:p>
      <w:pPr>
        <w:spacing w:line="600" w:lineRule="exact"/>
        <w:jc w:val="center"/>
        <w:rPr>
          <w:rFonts w:ascii="楷体_GB2312" w:hAnsi="Arial" w:eastAsia="楷体_GB2312"/>
          <w:color w:val="000000"/>
          <w:kern w:val="0"/>
        </w:rPr>
      </w:pPr>
      <w:r>
        <w:rPr>
          <w:rFonts w:ascii="楷体_GB2312" w:hAnsi="Arial" w:eastAsia="楷体_GB2312" w:cs="Arial"/>
          <w:color w:val="000000"/>
          <w:kern w:val="0"/>
        </w:rPr>
        <w:t>—</w:t>
      </w:r>
      <w:r>
        <w:rPr>
          <w:rFonts w:ascii="楷体_GB2312" w:hAnsi="Arial" w:eastAsia="楷体_GB2312" w:cs="楷体_GB2312"/>
          <w:color w:val="000000"/>
          <w:kern w:val="0"/>
        </w:rPr>
        <w:t>20</w:t>
      </w:r>
      <w:r>
        <w:rPr>
          <w:rFonts w:hint="eastAsia" w:ascii="楷体_GB2312" w:hAnsi="Arial" w:eastAsia="楷体_GB2312" w:cs="楷体_GB2312"/>
          <w:color w:val="000000"/>
          <w:kern w:val="0"/>
        </w:rPr>
        <w:t>2</w:t>
      </w:r>
      <w:r>
        <w:rPr>
          <w:rFonts w:hint="eastAsia" w:ascii="楷体_GB2312" w:hAnsi="Arial" w:eastAsia="楷体_GB2312" w:cs="楷体_GB2312"/>
          <w:color w:val="000000"/>
          <w:kern w:val="0"/>
          <w:lang w:val="en-US" w:eastAsia="zh-CN"/>
        </w:rPr>
        <w:t>1</w:t>
      </w:r>
      <w:r>
        <w:rPr>
          <w:rFonts w:hint="eastAsia" w:ascii="楷体_GB2312" w:hAnsi="Arial" w:eastAsia="楷体_GB2312" w:cs="楷体_GB2312"/>
          <w:color w:val="000000"/>
          <w:kern w:val="0"/>
        </w:rPr>
        <w:t>年</w:t>
      </w:r>
      <w:r>
        <w:rPr>
          <w:rFonts w:ascii="楷体_GB2312" w:hAnsi="Arial" w:eastAsia="楷体_GB2312" w:cs="楷体_GB2312"/>
          <w:color w:val="000000"/>
          <w:kern w:val="0"/>
        </w:rPr>
        <w:t>12</w:t>
      </w:r>
      <w:r>
        <w:rPr>
          <w:rFonts w:hint="eastAsia" w:ascii="楷体_GB2312" w:hAnsi="Arial" w:eastAsia="楷体_GB2312" w:cs="楷体_GB2312"/>
          <w:color w:val="000000"/>
          <w:kern w:val="0"/>
        </w:rPr>
        <w:t>月</w:t>
      </w:r>
      <w:r>
        <w:rPr>
          <w:rFonts w:hint="eastAsia" w:ascii="楷体_GB2312" w:hAnsi="Arial" w:eastAsia="楷体_GB2312" w:cs="楷体_GB2312"/>
          <w:color w:val="000000"/>
          <w:kern w:val="0"/>
          <w:lang w:val="en-US" w:eastAsia="zh-CN"/>
        </w:rPr>
        <w:t>30</w:t>
      </w:r>
      <w:r>
        <w:rPr>
          <w:rFonts w:hint="eastAsia" w:ascii="楷体_GB2312" w:hAnsi="Arial" w:eastAsia="楷体_GB2312" w:cs="楷体_GB2312"/>
          <w:color w:val="000000"/>
          <w:kern w:val="0"/>
        </w:rPr>
        <w:t>日在区六届人大常委会第</w:t>
      </w:r>
      <w:r>
        <w:rPr>
          <w:rFonts w:hint="eastAsia" w:ascii="楷体_GB2312" w:hAnsi="Arial" w:eastAsia="楷体_GB2312" w:cs="楷体_GB2312"/>
          <w:color w:val="000000"/>
          <w:kern w:val="0"/>
          <w:lang w:val="en-US" w:eastAsia="zh-CN"/>
        </w:rPr>
        <w:t>三十六</w:t>
      </w:r>
      <w:r>
        <w:rPr>
          <w:rFonts w:hint="eastAsia" w:ascii="楷体_GB2312" w:hAnsi="Arial" w:eastAsia="楷体_GB2312" w:cs="楷体_GB2312"/>
          <w:color w:val="000000"/>
          <w:kern w:val="0"/>
        </w:rPr>
        <w:t>次会议上</w:t>
      </w:r>
    </w:p>
    <w:p>
      <w:pPr>
        <w:widowControl/>
        <w:spacing w:line="600" w:lineRule="exact"/>
        <w:jc w:val="center"/>
        <w:rPr>
          <w:rFonts w:hint="default" w:ascii="楷体_GB2312" w:hAnsi="Arial" w:eastAsia="楷体_GB2312"/>
          <w:color w:val="000000"/>
          <w:kern w:val="0"/>
          <w:lang w:val="en-US" w:eastAsia="zh-CN"/>
        </w:rPr>
      </w:pPr>
      <w:r>
        <w:rPr>
          <w:rFonts w:hint="eastAsia" w:ascii="楷体_GB2312" w:hAnsi="Arial" w:eastAsia="楷体_GB2312" w:cs="楷体_GB2312"/>
          <w:color w:val="000000"/>
          <w:kern w:val="0"/>
        </w:rPr>
        <w:t>区审计局</w:t>
      </w:r>
      <w:r>
        <w:rPr>
          <w:rFonts w:hint="eastAsia" w:ascii="楷体_GB2312" w:hAnsi="Arial" w:eastAsia="楷体_GB2312" w:cs="楷体_GB2312"/>
          <w:color w:val="000000"/>
          <w:kern w:val="0"/>
          <w:lang w:val="en-US" w:eastAsia="zh-CN"/>
        </w:rPr>
        <w:t>党组成员</w:t>
      </w:r>
      <w:r>
        <w:rPr>
          <w:rFonts w:ascii="楷体_GB2312" w:hAnsi="Arial" w:eastAsia="楷体_GB2312" w:cs="楷体_GB2312"/>
          <w:color w:val="000000"/>
          <w:kern w:val="0"/>
        </w:rPr>
        <w:t xml:space="preserve"> </w:t>
      </w:r>
      <w:r>
        <w:rPr>
          <w:rFonts w:hint="eastAsia" w:ascii="楷体_GB2312" w:hAnsi="Arial" w:eastAsia="楷体_GB2312" w:cs="楷体_GB2312"/>
          <w:color w:val="000000"/>
          <w:kern w:val="0"/>
          <w:lang w:val="en-US" w:eastAsia="zh-CN"/>
        </w:rPr>
        <w:t>王军卫</w:t>
      </w:r>
    </w:p>
    <w:p>
      <w:pPr>
        <w:widowControl/>
        <w:spacing w:line="600" w:lineRule="exact"/>
        <w:jc w:val="center"/>
        <w:rPr>
          <w:rFonts w:ascii="楷体_GB2312" w:hAnsi="Arial" w:eastAsia="楷体_GB2312"/>
          <w:color w:val="000000"/>
          <w:kern w:val="0"/>
        </w:rPr>
      </w:pPr>
    </w:p>
    <w:p>
      <w:pPr>
        <w:spacing w:line="600" w:lineRule="exact"/>
        <w:rPr>
          <w:rFonts w:ascii="仿宋_GB2312" w:hAnsi="宋体"/>
        </w:rPr>
      </w:pPr>
      <w:r>
        <w:rPr>
          <w:rFonts w:hint="eastAsia" w:ascii="仿宋_GB2312" w:hAnsi="宋体" w:cs="仿宋_GB2312"/>
        </w:rPr>
        <w:t>主任、各位副主任、各位委员：</w:t>
      </w:r>
    </w:p>
    <w:p>
      <w:pPr>
        <w:spacing w:line="600" w:lineRule="exact"/>
        <w:rPr>
          <w:rFonts w:ascii="仿宋_GB2312" w:hAnsi="宋体"/>
        </w:rPr>
      </w:pPr>
      <w:r>
        <w:rPr>
          <w:rFonts w:ascii="仿宋_GB2312" w:hAnsi="宋体" w:cs="仿宋_GB2312"/>
        </w:rPr>
        <w:t xml:space="preserve">    </w:t>
      </w:r>
      <w:r>
        <w:rPr>
          <w:rFonts w:hint="eastAsia" w:ascii="仿宋_GB2312" w:hAnsi="宋体" w:cs="仿宋_GB2312"/>
        </w:rPr>
        <w:t>受区政府委托，我向本次会议汇报</w:t>
      </w:r>
      <w:r>
        <w:rPr>
          <w:rFonts w:ascii="仿宋_GB2312" w:hAnsi="宋体" w:cs="仿宋_GB2312"/>
        </w:rPr>
        <w:t>20</w:t>
      </w:r>
      <w:r>
        <w:rPr>
          <w:rFonts w:hint="eastAsia" w:ascii="仿宋_GB2312" w:hAnsi="宋体" w:cs="仿宋_GB2312"/>
          <w:lang w:val="en-US" w:eastAsia="zh-CN"/>
        </w:rPr>
        <w:t>20</w:t>
      </w:r>
      <w:r>
        <w:rPr>
          <w:rFonts w:hint="eastAsia" w:ascii="仿宋_GB2312" w:hAnsi="宋体" w:cs="仿宋_GB2312"/>
        </w:rPr>
        <w:t>年度区级预算执行和其他财政收支审计查出问题的整改情况，请予审议。</w:t>
      </w:r>
    </w:p>
    <w:p>
      <w:pPr>
        <w:spacing w:line="600" w:lineRule="exact"/>
        <w:rPr>
          <w:rFonts w:ascii="黑体" w:hAnsi="黑体" w:eastAsia="黑体"/>
        </w:rPr>
      </w:pPr>
      <w:r>
        <w:rPr>
          <w:rFonts w:ascii="仿宋_GB2312" w:hAnsi="宋体" w:cs="仿宋_GB2312"/>
        </w:rPr>
        <w:t xml:space="preserve">    </w:t>
      </w:r>
      <w:r>
        <w:rPr>
          <w:rFonts w:hint="eastAsia" w:ascii="黑体" w:hAnsi="黑体" w:eastAsia="黑体" w:cs="黑体"/>
        </w:rPr>
        <w:t>一、区级预算管理和决算草案审计查出问题的整改情况</w:t>
      </w:r>
    </w:p>
    <w:p>
      <w:pPr>
        <w:spacing w:line="600" w:lineRule="exact"/>
        <w:rPr>
          <w:rFonts w:ascii="楷体_GB2312" w:hAnsi="仿宋_GB2312" w:eastAsia="楷体_GB2312"/>
        </w:rPr>
      </w:pPr>
      <w:r>
        <w:t xml:space="preserve">   </w:t>
      </w:r>
      <w:r>
        <w:rPr>
          <w:rFonts w:hint="eastAsia" w:ascii="楷体_GB2312" w:hAnsi="仿宋_GB2312" w:eastAsia="楷体_GB2312" w:cs="楷体_GB2312"/>
        </w:rPr>
        <w:t>（一）预算编制管理方面存在的问题</w:t>
      </w:r>
    </w:p>
    <w:p>
      <w:pPr>
        <w:spacing w:line="600" w:lineRule="exact"/>
        <w:ind w:firstLine="640" w:firstLineChars="200"/>
        <w:rPr>
          <w:rFonts w:ascii="仿宋_GB2312" w:hAnsi="仿宋_GB2312"/>
          <w:szCs w:val="20"/>
        </w:rPr>
      </w:pPr>
      <w:r>
        <w:rPr>
          <w:rFonts w:ascii="仿宋_GB2312" w:hAnsi="仿宋_GB2312" w:cs="仿宋_GB2312"/>
        </w:rPr>
        <w:t>1.</w:t>
      </w:r>
      <w:r>
        <w:rPr>
          <w:rFonts w:hint="eastAsia" w:ascii="仿宋_GB2312" w:eastAsia="仿宋_GB2312" w:cs="仿宋_GB2312"/>
          <w:kern w:val="0"/>
          <w:sz w:val="32"/>
          <w:szCs w:val="32"/>
        </w:rPr>
        <w:t>预算编制不细化</w:t>
      </w:r>
      <w:r>
        <w:rPr>
          <w:rFonts w:hint="eastAsia" w:ascii="仿宋_GB2312" w:hAnsi="仿宋_GB2312" w:cs="仿宋_GB2312"/>
        </w:rPr>
        <w:t>的问题</w:t>
      </w:r>
      <w:r>
        <w:rPr>
          <w:rFonts w:hint="eastAsia" w:ascii="仿宋_GB2312" w:hAnsi="仿宋_GB2312" w:cs="仿宋_GB2312"/>
          <w:highlight w:val="none"/>
        </w:rPr>
        <w:t>。区财政部门将在编制202</w:t>
      </w:r>
      <w:r>
        <w:rPr>
          <w:rFonts w:hint="eastAsia" w:ascii="仿宋_GB2312" w:hAnsi="仿宋_GB2312" w:cs="仿宋_GB2312"/>
          <w:highlight w:val="none"/>
          <w:lang w:val="en-US" w:eastAsia="zh-CN"/>
        </w:rPr>
        <w:t>2</w:t>
      </w:r>
      <w:r>
        <w:rPr>
          <w:rFonts w:hint="eastAsia" w:ascii="仿宋_GB2312" w:hAnsi="仿宋_GB2312" w:cs="仿宋_GB2312"/>
          <w:highlight w:val="none"/>
        </w:rPr>
        <w:t>年政府预算时，进一步健全支出标准体系，早编细编预算，逐步将所有资金按要求细化到部门和具体项目，提高部门预算到位率</w:t>
      </w:r>
      <w:r>
        <w:rPr>
          <w:rFonts w:hint="eastAsia" w:ascii="仿宋_GB2312"/>
          <w:highlight w:val="none"/>
        </w:rPr>
        <w:t>。</w:t>
      </w:r>
    </w:p>
    <w:p>
      <w:pPr>
        <w:spacing w:line="600" w:lineRule="exact"/>
        <w:ind w:firstLine="640" w:firstLineChars="200"/>
        <w:rPr>
          <w:rFonts w:hint="default" w:ascii="仿宋_GB2312" w:hAnsi="仿宋_GB2312" w:cs="仿宋_GB2312"/>
          <w:highlight w:val="none"/>
          <w:lang w:val="en-US" w:eastAsia="zh-CN"/>
        </w:rPr>
      </w:pPr>
      <w:r>
        <w:rPr>
          <w:rFonts w:hint="eastAsia" w:ascii="仿宋_GB2312" w:hAnsi="仿宋_GB2312" w:cs="仿宋_GB2312"/>
          <w:highlight w:val="none"/>
        </w:rPr>
        <w:t>2.上级专项资金未及时分配9743.41万元的问题。</w:t>
      </w:r>
      <w:r>
        <w:rPr>
          <w:rFonts w:hint="eastAsia" w:ascii="仿宋_GB2312" w:hAnsi="仿宋_GB2312" w:cs="仿宋_GB2312"/>
          <w:highlight w:val="none"/>
          <w:lang w:val="en-US" w:eastAsia="zh-CN"/>
        </w:rPr>
        <w:t>截至2021年12月15日，区财政部门已全部分配完毕。</w:t>
      </w:r>
    </w:p>
    <w:p>
      <w:pPr>
        <w:spacing w:line="600" w:lineRule="exact"/>
        <w:ind w:firstLine="640" w:firstLineChars="200"/>
        <w:rPr>
          <w:rFonts w:ascii="楷体_GB2312" w:hAnsi="仿宋_GB2312" w:eastAsia="楷体_GB2312" w:cs="楷体_GB2312"/>
        </w:rPr>
      </w:pPr>
      <w:r>
        <w:rPr>
          <w:rFonts w:hint="eastAsia" w:ascii="楷体_GB2312" w:hAnsi="仿宋_GB2312" w:eastAsia="楷体_GB2312" w:cs="楷体_GB2312"/>
        </w:rPr>
        <w:t>（二）</w:t>
      </w:r>
      <w:r>
        <w:rPr>
          <w:rFonts w:hint="eastAsia" w:ascii="楷体_GB2312" w:hAnsi="仿宋_GB2312" w:eastAsia="楷体_GB2312"/>
          <w:szCs w:val="20"/>
        </w:rPr>
        <w:t>决算草案和政府综合财务报告编制</w:t>
      </w:r>
      <w:r>
        <w:rPr>
          <w:rFonts w:hint="eastAsia" w:ascii="楷体_GB2312" w:hAnsi="仿宋_GB2312" w:eastAsia="楷体_GB2312" w:cs="楷体_GB2312"/>
        </w:rPr>
        <w:t>方面存在的问题</w:t>
      </w:r>
    </w:p>
    <w:p>
      <w:pPr>
        <w:spacing w:line="600" w:lineRule="exact"/>
        <w:ind w:left="106" w:leftChars="33" w:firstLine="636" w:firstLineChars="199"/>
        <w:rPr>
          <w:rFonts w:hint="eastAsia" w:ascii="仿宋_GB2312"/>
          <w:highlight w:val="yellow"/>
        </w:rPr>
      </w:pPr>
      <w:r>
        <w:rPr>
          <w:rFonts w:hint="eastAsia" w:ascii="仿宋_GB2312" w:eastAsia="仿宋_GB2312"/>
          <w:sz w:val="32"/>
          <w:szCs w:val="32"/>
        </w:rPr>
        <w:t>1.财政收入未及时足额缴库2</w:t>
      </w:r>
      <w:r>
        <w:rPr>
          <w:rFonts w:hint="eastAsia" w:ascii="仿宋_GB2312"/>
          <w:sz w:val="32"/>
          <w:szCs w:val="32"/>
          <w:lang w:val="en-US" w:eastAsia="zh-CN"/>
        </w:rPr>
        <w:t>.</w:t>
      </w:r>
      <w:r>
        <w:rPr>
          <w:rFonts w:hint="eastAsia" w:ascii="仿宋_GB2312" w:eastAsia="仿宋_GB2312"/>
          <w:sz w:val="32"/>
          <w:szCs w:val="32"/>
        </w:rPr>
        <w:t>03</w:t>
      </w:r>
      <w:r>
        <w:rPr>
          <w:rFonts w:hint="eastAsia" w:ascii="仿宋_GB2312"/>
          <w:sz w:val="32"/>
          <w:szCs w:val="32"/>
          <w:lang w:val="en-US" w:eastAsia="zh-CN"/>
        </w:rPr>
        <w:t>亿</w:t>
      </w:r>
      <w:r>
        <w:rPr>
          <w:rFonts w:hint="eastAsia" w:ascii="仿宋_GB2312" w:eastAsia="仿宋_GB2312"/>
          <w:sz w:val="32"/>
          <w:szCs w:val="32"/>
        </w:rPr>
        <w:t>元，影响决算收入准确性</w:t>
      </w:r>
      <w:r>
        <w:rPr>
          <w:rFonts w:hint="eastAsia" w:ascii="仿宋_GB2312" w:hAnsi="仿宋_GB2312"/>
        </w:rPr>
        <w:t>的问</w:t>
      </w:r>
      <w:r>
        <w:rPr>
          <w:rFonts w:hint="eastAsia" w:ascii="仿宋_GB2312" w:eastAsia="仿宋_GB2312"/>
          <w:sz w:val="32"/>
          <w:szCs w:val="32"/>
        </w:rPr>
        <w:t>题。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截至2021年12月</w:t>
      </w:r>
      <w:r>
        <w:rPr>
          <w:rFonts w:hint="eastAsia" w:ascii="仿宋_GB2312"/>
          <w:sz w:val="32"/>
          <w:szCs w:val="32"/>
          <w:lang w:val="en-US" w:eastAsia="zh-CN"/>
        </w:rPr>
        <w:t>15日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，区财政部门已将未入库非税收入全部入库。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bidi w:val="0"/>
        <w:snapToGrid/>
        <w:spacing w:line="550" w:lineRule="exact"/>
        <w:ind w:firstLine="745" w:firstLineChars="233"/>
        <w:jc w:val="left"/>
        <w:textAlignment w:val="auto"/>
        <w:outlineLvl w:val="9"/>
        <w:rPr>
          <w:rFonts w:hint="default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</w:rPr>
        <w:t>2.企业的股权投资反映不完整</w:t>
      </w:r>
      <w:r>
        <w:rPr>
          <w:rFonts w:hint="eastAsia" w:ascii="仿宋_GB2312" w:hAnsi="仿宋_GB2312"/>
        </w:rPr>
        <w:t>的</w:t>
      </w:r>
      <w:r>
        <w:rPr>
          <w:rFonts w:hint="eastAsia" w:ascii="仿宋_GB2312" w:eastAsia="仿宋_GB2312"/>
          <w:sz w:val="32"/>
          <w:szCs w:val="32"/>
        </w:rPr>
        <w:t>问题。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截至2021年9月，区财政部门已补记2020年对正源城市建设投资有限公司股权投资300万元。下一步，区财政部门将根据被投资企业会计报表，在2021年财务核算中增设股权投资科目，并补记以前年度金额。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50" w:lineRule="exact"/>
        <w:ind w:left="106" w:leftChars="33" w:firstLine="630" w:firstLineChars="197"/>
        <w:textAlignment w:val="auto"/>
        <w:outlineLvl w:val="9"/>
        <w:rPr>
          <w:rFonts w:hint="default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</w:rPr>
        <w:t>3.2019年度政府综合财务报告填报</w:t>
      </w:r>
      <w:r>
        <w:rPr>
          <w:rFonts w:hint="eastAsia" w:ascii="仿宋_GB2312"/>
          <w:sz w:val="32"/>
          <w:szCs w:val="32"/>
          <w:lang w:val="en-US" w:eastAsia="zh-CN"/>
        </w:rPr>
        <w:t>不完整的问题</w:t>
      </w:r>
      <w:r>
        <w:rPr>
          <w:rFonts w:hint="eastAsia" w:ascii="仿宋_GB2312" w:eastAsia="仿宋_GB2312"/>
          <w:sz w:val="32"/>
          <w:szCs w:val="32"/>
        </w:rPr>
        <w:t>。</w:t>
      </w:r>
      <w:r>
        <w:rPr>
          <w:rFonts w:hint="eastAsia" w:ascii="仿宋_GB2312"/>
          <w:sz w:val="32"/>
          <w:szCs w:val="32"/>
          <w:lang w:val="en-US" w:eastAsia="zh-CN"/>
        </w:rPr>
        <w:t>区财政部门在编制2020年政府综合财务报告时，已督促部门据实填报公共基础设施等资产信息，确保财务报告内容完整准确。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50" w:lineRule="exact"/>
        <w:ind w:firstLine="636" w:firstLineChars="199"/>
        <w:textAlignment w:val="auto"/>
        <w:outlineLvl w:val="9"/>
        <w:rPr>
          <w:rFonts w:ascii="楷体_GB2312" w:hAnsi="仿宋_GB2312" w:eastAsia="楷体_GB2312"/>
          <w:sz w:val="32"/>
        </w:rPr>
      </w:pPr>
      <w:r>
        <w:rPr>
          <w:rFonts w:hint="eastAsia" w:ascii="楷体_GB2312" w:hAnsi="仿宋_GB2312" w:eastAsia="楷体_GB2312"/>
          <w:sz w:val="32"/>
        </w:rPr>
        <w:t>（三）统筹盘活存量资金资产方面</w:t>
      </w:r>
      <w:r>
        <w:rPr>
          <w:rFonts w:hint="eastAsia" w:ascii="楷体_GB2312" w:hAnsi="仿宋_GB2312" w:eastAsia="楷体_GB2312" w:cs="楷体_GB2312"/>
        </w:rPr>
        <w:t>存在的问题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50" w:lineRule="exact"/>
        <w:ind w:left="106" w:leftChars="33" w:firstLine="636" w:firstLineChars="199"/>
        <w:textAlignment w:val="auto"/>
        <w:outlineLvl w:val="9"/>
        <w:rPr>
          <w:rFonts w:hint="default" w:ascii="仿宋_GB2312" w:eastAsia="仿宋_GB2312"/>
          <w:sz w:val="32"/>
          <w:szCs w:val="32"/>
          <w:highlight w:val="yellow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highlight w:val="none"/>
        </w:rPr>
        <w:t>1.部分财政存量资金未及时统筹使用</w:t>
      </w:r>
      <w:r>
        <w:rPr>
          <w:rFonts w:hint="eastAsia" w:ascii="仿宋_GB2312" w:hAnsi="仿宋_GB2312" w:cs="仿宋_GB2312"/>
          <w:highlight w:val="none"/>
        </w:rPr>
        <w:t>的问题</w:t>
      </w:r>
      <w:r>
        <w:rPr>
          <w:rFonts w:hint="eastAsia" w:ascii="仿宋_GB2312" w:eastAsia="仿宋_GB2312"/>
          <w:sz w:val="32"/>
          <w:szCs w:val="32"/>
          <w:highlight w:val="none"/>
        </w:rPr>
        <w:t>。</w:t>
      </w:r>
      <w:r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  <w:t>结存在财政部门存量资金375.97万元为销户结余资金及旧村改造闲置资金，已于2021年6月23日以非税收入入库。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50" w:lineRule="exact"/>
        <w:ind w:left="106" w:leftChars="33" w:firstLine="636" w:firstLineChars="199"/>
        <w:textAlignment w:val="auto"/>
        <w:outlineLvl w:val="9"/>
        <w:rPr>
          <w:rFonts w:hint="default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/>
          <w:sz w:val="32"/>
          <w:szCs w:val="32"/>
          <w:lang w:val="en-US" w:eastAsia="zh-CN"/>
        </w:rPr>
        <w:t>2</w:t>
      </w:r>
      <w:r>
        <w:rPr>
          <w:rFonts w:hint="eastAsia" w:ascii="仿宋_GB2312" w:eastAsia="仿宋_GB2312"/>
          <w:sz w:val="32"/>
          <w:szCs w:val="32"/>
        </w:rPr>
        <w:t>.</w:t>
      </w:r>
      <w:r>
        <w:rPr>
          <w:rFonts w:hint="eastAsia" w:ascii="仿宋_GB2312"/>
          <w:sz w:val="32"/>
          <w:szCs w:val="32"/>
          <w:lang w:val="en-US" w:eastAsia="zh-CN"/>
        </w:rPr>
        <w:t>个别部门</w:t>
      </w:r>
      <w:r>
        <w:rPr>
          <w:rFonts w:hint="eastAsia" w:ascii="仿宋_GB2312" w:eastAsia="仿宋_GB2312"/>
          <w:sz w:val="32"/>
          <w:szCs w:val="32"/>
        </w:rPr>
        <w:t>存量资产未盘活使用</w:t>
      </w:r>
      <w:r>
        <w:rPr>
          <w:rFonts w:hint="eastAsia" w:ascii="仿宋_GB2312" w:hAnsi="仿宋_GB2312" w:cs="仿宋_GB2312"/>
        </w:rPr>
        <w:t>的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问题。相关部门已加大推进招商引资力度，引进多家公司入驻，使资产得到充分利用。</w:t>
      </w:r>
    </w:p>
    <w:p>
      <w:pPr>
        <w:spacing w:line="600" w:lineRule="exact"/>
        <w:ind w:firstLine="640" w:firstLineChars="200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/>
          <w:sz w:val="32"/>
          <w:szCs w:val="32"/>
          <w:lang w:val="en-US" w:eastAsia="zh-CN"/>
        </w:rPr>
        <w:t>3</w:t>
      </w:r>
      <w:r>
        <w:rPr>
          <w:rFonts w:hint="eastAsia" w:ascii="仿宋_GB2312" w:eastAsia="仿宋_GB2312"/>
          <w:sz w:val="32"/>
          <w:szCs w:val="32"/>
        </w:rPr>
        <w:t>.非税收入中有专项用途的收入未统筹安排使用47</w:t>
      </w:r>
      <w:r>
        <w:rPr>
          <w:rFonts w:hint="eastAsia" w:ascii="仿宋_GB2312"/>
          <w:sz w:val="32"/>
          <w:szCs w:val="32"/>
          <w:lang w:val="en-US" w:eastAsia="zh-CN"/>
        </w:rPr>
        <w:t>.</w:t>
      </w:r>
      <w:r>
        <w:rPr>
          <w:rFonts w:hint="eastAsia" w:ascii="仿宋_GB2312" w:eastAsia="仿宋_GB2312"/>
          <w:sz w:val="32"/>
          <w:szCs w:val="32"/>
        </w:rPr>
        <w:t>2</w:t>
      </w:r>
      <w:r>
        <w:rPr>
          <w:rFonts w:hint="eastAsia" w:ascii="仿宋_GB2312"/>
          <w:sz w:val="32"/>
          <w:szCs w:val="32"/>
          <w:lang w:val="en-US" w:eastAsia="zh-CN"/>
        </w:rPr>
        <w:t>万</w:t>
      </w:r>
      <w:r>
        <w:rPr>
          <w:rFonts w:hint="eastAsia" w:ascii="仿宋_GB2312" w:eastAsia="仿宋_GB2312"/>
          <w:sz w:val="32"/>
          <w:szCs w:val="32"/>
        </w:rPr>
        <w:t>元</w:t>
      </w:r>
      <w:r>
        <w:rPr>
          <w:rFonts w:hint="eastAsia" w:ascii="仿宋_GB2312" w:hAnsi="仿宋_GB2312" w:cs="仿宋_GB2312"/>
        </w:rPr>
        <w:t>的问</w:t>
      </w:r>
      <w:r>
        <w:rPr>
          <w:rFonts w:hint="eastAsia" w:ascii="仿宋_GB2312" w:eastAsia="仿宋_GB2312"/>
          <w:sz w:val="32"/>
          <w:szCs w:val="32"/>
        </w:rPr>
        <w:t>题。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区财政部门将加大对政府性基金的拨付力度，在确保正常运转的前提下，</w:t>
      </w:r>
      <w:r>
        <w:rPr>
          <w:rFonts w:hint="eastAsia" w:ascii="仿宋_GB2312"/>
          <w:sz w:val="32"/>
          <w:szCs w:val="32"/>
          <w:lang w:val="en-US" w:eastAsia="zh-CN"/>
        </w:rPr>
        <w:t>将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部分结余资金及时调入一般公共预算统筹使用。</w:t>
      </w:r>
    </w:p>
    <w:p>
      <w:pPr>
        <w:spacing w:line="600" w:lineRule="exact"/>
        <w:ind w:firstLine="640" w:firstLineChars="200"/>
        <w:rPr>
          <w:rFonts w:hint="eastAsia" w:ascii="楷体_GB2312" w:hAnsi="仿宋_GB2312" w:eastAsia="楷体_GB2312" w:cs="楷体_GB2312"/>
        </w:rPr>
      </w:pPr>
      <w:r>
        <w:rPr>
          <w:rFonts w:hint="eastAsia" w:ascii="楷体_GB2312" w:hAnsi="仿宋_GB2312" w:eastAsia="楷体_GB2312" w:cs="楷体_GB2312"/>
        </w:rPr>
        <w:t>（四</w:t>
      </w:r>
      <w:r>
        <w:rPr>
          <w:rFonts w:hint="eastAsia" w:ascii="楷体_GB2312" w:hAnsi="仿宋_GB2312" w:eastAsia="楷体_GB2312" w:cs="楷体_GB2312"/>
          <w:lang w:eastAsia="zh-CN"/>
        </w:rPr>
        <w:t>）</w:t>
      </w:r>
      <w:r>
        <w:rPr>
          <w:rFonts w:hint="eastAsia" w:ascii="楷体_GB2312" w:hAnsi="仿宋_GB2312" w:eastAsia="楷体_GB2312" w:cs="楷体_GB2312"/>
        </w:rPr>
        <w:t>项目资金管理方面存在的问题</w:t>
      </w:r>
    </w:p>
    <w:p>
      <w:pPr>
        <w:spacing w:line="600" w:lineRule="exact"/>
        <w:ind w:firstLine="640" w:firstLineChars="200"/>
        <w:rPr>
          <w:rFonts w:hint="default" w:ascii="仿宋_GB2312" w:eastAsia="仿宋_GB2312"/>
          <w:lang w:val="en-US" w:eastAsia="zh-CN"/>
        </w:rPr>
      </w:pPr>
      <w:r>
        <w:rPr>
          <w:rFonts w:hint="eastAsia" w:ascii="仿宋_GB2312" w:eastAsia="仿宋_GB2312"/>
          <w:sz w:val="32"/>
          <w:szCs w:val="32"/>
        </w:rPr>
        <w:t>专项资金监督管理不到位，致使部分拨付企业专项资金未实现单独核算</w:t>
      </w:r>
      <w:r>
        <w:rPr>
          <w:rFonts w:hint="eastAsia" w:ascii="仿宋_GB2312"/>
          <w:sz w:val="32"/>
          <w:szCs w:val="32"/>
          <w:lang w:val="en-US" w:eastAsia="zh-CN"/>
        </w:rPr>
        <w:t>的问题</w:t>
      </w:r>
      <w:r>
        <w:rPr>
          <w:rFonts w:hint="eastAsia" w:ascii="仿宋_GB2312" w:eastAsia="仿宋_GB2312"/>
          <w:sz w:val="32"/>
          <w:szCs w:val="32"/>
        </w:rPr>
        <w:t>。</w:t>
      </w:r>
      <w:r>
        <w:rPr>
          <w:rFonts w:hint="eastAsia" w:ascii="仿宋_GB2312"/>
          <w:sz w:val="32"/>
          <w:szCs w:val="32"/>
          <w:lang w:val="en-US" w:eastAsia="zh-CN"/>
        </w:rPr>
        <w:t>相关部门根据《烟台市市级科技创新发展专项资金管理办法》（烟科教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〔</w:t>
      </w:r>
      <w:r>
        <w:rPr>
          <w:rFonts w:hint="eastAsia" w:ascii="仿宋_GB2312"/>
          <w:sz w:val="32"/>
          <w:szCs w:val="32"/>
          <w:lang w:val="en-US" w:eastAsia="zh-CN"/>
        </w:rPr>
        <w:t>2021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〕</w:t>
      </w:r>
      <w:r>
        <w:rPr>
          <w:rFonts w:hint="eastAsia" w:ascii="仿宋_GB2312"/>
          <w:sz w:val="32"/>
          <w:szCs w:val="32"/>
          <w:lang w:val="en-US" w:eastAsia="zh-CN"/>
        </w:rPr>
        <w:t>6号）文件规定，做好专项资金预算编制、拨付及监督预算执行工作。根据管理需要对项目进行重点绩效跟踪和绩效评价，发现问题及时通报部门进行整改。</w:t>
      </w:r>
    </w:p>
    <w:p>
      <w:pPr>
        <w:spacing w:line="600" w:lineRule="exact"/>
        <w:ind w:firstLine="630"/>
        <w:rPr>
          <w:rFonts w:ascii="黑体" w:hAnsi="黑体" w:eastAsia="黑体" w:cs="黑体"/>
        </w:rPr>
      </w:pPr>
      <w:r>
        <w:rPr>
          <w:rFonts w:hint="eastAsia" w:ascii="黑体" w:hAnsi="黑体" w:eastAsia="黑体" w:cs="黑体"/>
        </w:rPr>
        <w:t>二、</w:t>
      </w:r>
      <w:r>
        <w:rPr>
          <w:rFonts w:hint="eastAsia" w:ascii="黑体" w:hAnsi="黑体" w:eastAsia="黑体"/>
        </w:rPr>
        <w:t>部门预算执行及预算绩效管理</w:t>
      </w:r>
      <w:r>
        <w:rPr>
          <w:rFonts w:hint="eastAsia" w:ascii="黑体" w:hAnsi="黑体" w:eastAsia="黑体"/>
          <w:lang w:val="en-US" w:eastAsia="zh-CN"/>
        </w:rPr>
        <w:t>审计</w:t>
      </w:r>
      <w:r>
        <w:rPr>
          <w:rFonts w:hint="eastAsia" w:ascii="黑体" w:hAnsi="黑体" w:eastAsia="黑体" w:cs="黑体"/>
        </w:rPr>
        <w:t>查出问题的整改情况</w:t>
      </w:r>
    </w:p>
    <w:p>
      <w:pPr>
        <w:pStyle w:val="2"/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bidi w:val="0"/>
        <w:snapToGrid/>
        <w:spacing w:line="550" w:lineRule="exact"/>
        <w:ind w:firstLine="640" w:firstLineChars="200"/>
        <w:textAlignment w:val="auto"/>
        <w:outlineLvl w:val="9"/>
        <w:rPr>
          <w:rFonts w:hint="eastAsia"/>
          <w:sz w:val="32"/>
          <w:lang w:val="en-US" w:eastAsia="zh-CN"/>
        </w:rPr>
      </w:pPr>
      <w:r>
        <w:rPr>
          <w:rFonts w:hint="eastAsia" w:ascii="楷体_GB2312" w:hAnsi="仿宋_GB2312" w:eastAsia="楷体_GB2312" w:cs="Times New Roman"/>
          <w:color w:val="auto"/>
          <w:kern w:val="2"/>
          <w:sz w:val="32"/>
          <w:szCs w:val="24"/>
          <w:lang w:val="en-US" w:eastAsia="zh-CN" w:bidi="ar-SA"/>
        </w:rPr>
        <w:t>预决算编制不够真实完整的问题</w:t>
      </w:r>
    </w:p>
    <w:p>
      <w:pPr>
        <w:pStyle w:val="2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line="550" w:lineRule="exact"/>
        <w:ind w:firstLine="640" w:firstLineChars="200"/>
        <w:textAlignment w:val="auto"/>
        <w:outlineLvl w:val="9"/>
        <w:rPr>
          <w:rFonts w:hint="default"/>
          <w:sz w:val="32"/>
          <w:lang w:val="en-US" w:eastAsia="zh-CN"/>
        </w:rPr>
      </w:pPr>
      <w:r>
        <w:rPr>
          <w:rFonts w:hint="eastAsia"/>
          <w:sz w:val="32"/>
          <w:lang w:val="en-US" w:eastAsia="zh-CN"/>
        </w:rPr>
        <w:t>1.部分街道、部门取得非税收入未及时上缴国库506.17万元的问题。</w:t>
      </w:r>
      <w:bookmarkStart w:id="0" w:name="_GoBack"/>
      <w:r>
        <w:rPr>
          <w:rFonts w:hint="eastAsia"/>
          <w:sz w:val="32"/>
          <w:lang w:val="en-US" w:eastAsia="zh-CN"/>
        </w:rPr>
        <w:t>截至12月15日</w:t>
      </w:r>
      <w:bookmarkEnd w:id="0"/>
      <w:r>
        <w:rPr>
          <w:rFonts w:hint="eastAsia"/>
          <w:sz w:val="32"/>
          <w:lang w:val="en-US" w:eastAsia="zh-CN"/>
        </w:rPr>
        <w:t>，6个街道、部门已将未缴库非税收入302.45万元上缴入库，1个部门的房租收入203.71万元未入库。</w:t>
      </w:r>
    </w:p>
    <w:p>
      <w:pPr>
        <w:pStyle w:val="2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line="550" w:lineRule="exact"/>
        <w:ind w:firstLine="640" w:firstLineChars="200"/>
        <w:textAlignment w:val="auto"/>
        <w:outlineLvl w:val="9"/>
        <w:rPr>
          <w:rFonts w:hint="default" w:ascii="仿宋_GB2312" w:hAnsi="仿宋_GB2312"/>
          <w:sz w:val="32"/>
          <w:lang w:val="en-US" w:eastAsia="zh-CN"/>
        </w:rPr>
      </w:pPr>
      <w:r>
        <w:rPr>
          <w:rFonts w:hint="eastAsia"/>
          <w:sz w:val="32"/>
          <w:lang w:val="en-US" w:eastAsia="zh-CN"/>
        </w:rPr>
        <w:t>2.</w:t>
      </w:r>
      <w:r>
        <w:rPr>
          <w:rFonts w:hint="eastAsia" w:ascii="仿宋_GB2312" w:hAnsi="仿宋_GB2312" w:eastAsia="仿宋_GB2312"/>
          <w:sz w:val="32"/>
        </w:rPr>
        <w:t>12个预算</w:t>
      </w:r>
      <w:r>
        <w:rPr>
          <w:rFonts w:hint="eastAsia"/>
          <w:sz w:val="32"/>
          <w:lang w:val="en-US" w:eastAsia="zh-CN"/>
        </w:rPr>
        <w:t>部门</w:t>
      </w:r>
      <w:r>
        <w:rPr>
          <w:rFonts w:hint="eastAsia" w:ascii="仿宋_GB2312" w:hAnsi="仿宋_GB2312"/>
          <w:sz w:val="32"/>
          <w:lang w:val="en-US" w:eastAsia="zh-CN"/>
        </w:rPr>
        <w:t>未将上年结转资金编入当年预算，涉及金额</w:t>
      </w:r>
      <w:r>
        <w:rPr>
          <w:rFonts w:ascii="仿宋_GB2312" w:hAnsi="仿宋_GB2312" w:eastAsia="仿宋_GB2312"/>
          <w:sz w:val="32"/>
        </w:rPr>
        <w:t>6</w:t>
      </w:r>
      <w:r>
        <w:rPr>
          <w:rFonts w:hint="eastAsia" w:ascii="仿宋_GB2312" w:hAnsi="仿宋_GB2312"/>
          <w:sz w:val="32"/>
          <w:lang w:val="en-US" w:eastAsia="zh-CN"/>
        </w:rPr>
        <w:t>.</w:t>
      </w:r>
      <w:r>
        <w:rPr>
          <w:rFonts w:ascii="仿宋_GB2312" w:hAnsi="仿宋_GB2312" w:eastAsia="仿宋_GB2312"/>
          <w:sz w:val="32"/>
        </w:rPr>
        <w:t>1</w:t>
      </w:r>
      <w:r>
        <w:rPr>
          <w:rFonts w:hint="eastAsia" w:ascii="仿宋_GB2312" w:hAnsi="仿宋_GB2312"/>
          <w:sz w:val="32"/>
          <w:lang w:val="en-US" w:eastAsia="zh-CN"/>
        </w:rPr>
        <w:t>6亿</w:t>
      </w:r>
      <w:r>
        <w:rPr>
          <w:rFonts w:hint="eastAsia" w:ascii="仿宋_GB2312" w:hAnsi="仿宋_GB2312" w:eastAsia="仿宋_GB2312"/>
          <w:sz w:val="32"/>
        </w:rPr>
        <w:t>元</w:t>
      </w:r>
      <w:r>
        <w:rPr>
          <w:rFonts w:hint="eastAsia"/>
          <w:sz w:val="32"/>
          <w:lang w:val="en-US" w:eastAsia="zh-CN"/>
        </w:rPr>
        <w:t>的问题。相关部门认真整改，根据《中华人民共和国预算法实施条例》的相关规定，加强部门预算编制管理，将当年所需支出全部纳入预算，提高年初预算的完整性。</w:t>
      </w:r>
    </w:p>
    <w:p>
      <w:pPr>
        <w:pStyle w:val="2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line="550" w:lineRule="exact"/>
        <w:ind w:firstLine="640" w:firstLineChars="200"/>
        <w:textAlignment w:val="auto"/>
        <w:outlineLvl w:val="9"/>
        <w:rPr>
          <w:rFonts w:hint="default"/>
          <w:sz w:val="32"/>
          <w:lang w:val="en-US" w:eastAsia="zh-CN"/>
        </w:rPr>
      </w:pPr>
      <w:r>
        <w:rPr>
          <w:rFonts w:hint="eastAsia"/>
          <w:sz w:val="32"/>
          <w:lang w:val="en-US" w:eastAsia="zh-CN"/>
        </w:rPr>
        <w:t>3.部门决算编报不完整、不准确的问题。相关部门进行了原因分析，并将在以后年度加强决算的编报管理，确保将下属部门基建支出纳入决算编制范畴，如实编报年度决算报表，做到账表相符。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line="550" w:lineRule="exact"/>
        <w:ind w:firstLine="640" w:firstLineChars="200"/>
        <w:textAlignment w:val="auto"/>
        <w:outlineLvl w:val="9"/>
        <w:rPr>
          <w:rFonts w:hint="eastAsia"/>
          <w:sz w:val="32"/>
          <w:lang w:val="en-US" w:eastAsia="zh-CN"/>
        </w:rPr>
      </w:pPr>
      <w:r>
        <w:rPr>
          <w:rFonts w:hint="eastAsia" w:ascii="楷体_GB2312" w:hAnsi="仿宋_GB2312" w:eastAsia="楷体_GB2312" w:cs="Times New Roman"/>
          <w:color w:val="auto"/>
          <w:kern w:val="2"/>
          <w:sz w:val="32"/>
          <w:szCs w:val="24"/>
          <w:lang w:val="en-US" w:eastAsia="zh-CN" w:bidi="ar-SA"/>
        </w:rPr>
        <w:t>（二）部门预算绩效管理有待加强的问题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line="550" w:lineRule="exact"/>
        <w:ind w:firstLine="640" w:firstLineChars="200"/>
        <w:textAlignment w:val="auto"/>
        <w:outlineLvl w:val="9"/>
        <w:rPr>
          <w:rFonts w:hint="default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/>
          <w:sz w:val="32"/>
          <w:szCs w:val="32"/>
          <w:lang w:val="en-US" w:eastAsia="zh-CN"/>
        </w:rPr>
        <w:t>1.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11个</w:t>
      </w:r>
      <w:r>
        <w:rPr>
          <w:rFonts w:hint="eastAsia" w:ascii="仿宋_GB2312" w:eastAsia="仿宋_GB2312"/>
          <w:sz w:val="32"/>
          <w:szCs w:val="32"/>
        </w:rPr>
        <w:t>项目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未</w:t>
      </w:r>
      <w:r>
        <w:rPr>
          <w:rFonts w:hint="eastAsia" w:ascii="仿宋_GB2312" w:eastAsia="仿宋_GB2312"/>
          <w:sz w:val="32"/>
          <w:szCs w:val="32"/>
        </w:rPr>
        <w:t>编制绩效目标，涉及金额346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.</w:t>
      </w:r>
      <w:r>
        <w:rPr>
          <w:rFonts w:hint="eastAsia" w:ascii="仿宋_GB2312" w:eastAsia="仿宋_GB2312"/>
          <w:sz w:val="32"/>
          <w:szCs w:val="32"/>
        </w:rPr>
        <w:t>1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5万</w:t>
      </w:r>
      <w:r>
        <w:rPr>
          <w:rFonts w:hint="eastAsia" w:ascii="仿宋_GB2312" w:eastAsia="仿宋_GB2312"/>
          <w:sz w:val="32"/>
          <w:szCs w:val="32"/>
        </w:rPr>
        <w:t>元</w:t>
      </w:r>
      <w:r>
        <w:rPr>
          <w:rFonts w:hint="eastAsia" w:ascii="仿宋_GB2312"/>
          <w:sz w:val="32"/>
          <w:szCs w:val="32"/>
          <w:lang w:val="en-US" w:eastAsia="zh-CN"/>
        </w:rPr>
        <w:t>的问题。相关部门已进行整改，要求对上级下达专项资金编制绩效目标，并进行全程监管，按照绩效管理要求，编制绩效监控表、自评表及自评报告。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line="550" w:lineRule="exact"/>
        <w:ind w:firstLine="640" w:firstLineChars="200"/>
        <w:textAlignment w:val="auto"/>
        <w:outlineLvl w:val="9"/>
        <w:rPr>
          <w:rFonts w:hint="default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/>
          <w:sz w:val="32"/>
          <w:szCs w:val="32"/>
          <w:lang w:val="en-US" w:eastAsia="zh-CN"/>
        </w:rPr>
        <w:t>2.</w:t>
      </w:r>
      <w:r>
        <w:rPr>
          <w:rFonts w:hint="eastAsia" w:ascii="仿宋_GB2312" w:eastAsia="仿宋_GB2312"/>
          <w:sz w:val="32"/>
          <w:szCs w:val="32"/>
        </w:rPr>
        <w:t>4个预算</w:t>
      </w:r>
      <w:r>
        <w:rPr>
          <w:rFonts w:hint="eastAsia" w:ascii="仿宋_GB2312"/>
          <w:sz w:val="32"/>
          <w:szCs w:val="32"/>
          <w:lang w:eastAsia="zh-CN"/>
        </w:rPr>
        <w:t>部门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的</w:t>
      </w:r>
      <w:r>
        <w:rPr>
          <w:rFonts w:hint="eastAsia" w:ascii="仿宋_GB2312" w:eastAsia="仿宋_GB2312"/>
          <w:sz w:val="32"/>
          <w:szCs w:val="32"/>
        </w:rPr>
        <w:t>16个项目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的</w:t>
      </w:r>
      <w:r>
        <w:rPr>
          <w:rFonts w:hint="eastAsia" w:ascii="仿宋_GB2312" w:eastAsia="仿宋_GB2312"/>
          <w:sz w:val="32"/>
          <w:szCs w:val="32"/>
        </w:rPr>
        <w:t>绩效目标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编制</w:t>
      </w:r>
      <w:r>
        <w:rPr>
          <w:rFonts w:hint="eastAsia" w:ascii="仿宋_GB2312" w:eastAsia="仿宋_GB2312"/>
          <w:sz w:val="32"/>
          <w:szCs w:val="32"/>
        </w:rPr>
        <w:t>较为笼统</w:t>
      </w:r>
      <w:r>
        <w:rPr>
          <w:rFonts w:hint="eastAsia" w:ascii="仿宋_GB2312" w:eastAsia="仿宋_GB2312"/>
          <w:sz w:val="32"/>
          <w:szCs w:val="32"/>
          <w:lang w:eastAsia="zh-CN"/>
        </w:rPr>
        <w:t>，</w:t>
      </w:r>
      <w:r>
        <w:rPr>
          <w:rFonts w:hint="eastAsia" w:ascii="仿宋_GB2312" w:eastAsia="仿宋_GB2312"/>
          <w:sz w:val="32"/>
          <w:szCs w:val="32"/>
        </w:rPr>
        <w:t>不够细化明确</w:t>
      </w:r>
      <w:r>
        <w:rPr>
          <w:rFonts w:hint="eastAsia" w:ascii="仿宋_GB2312"/>
          <w:sz w:val="32"/>
          <w:szCs w:val="32"/>
          <w:lang w:val="en-US" w:eastAsia="zh-CN"/>
        </w:rPr>
        <w:t>的问题。相关部门加强整改，从数量、质量、成本和时效等方面对绩效目标进行细化，实现定量表述，准确设立绩效目标，增强预算编制的科学性。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line="550" w:lineRule="exact"/>
        <w:ind w:firstLine="640" w:firstLineChars="200"/>
        <w:textAlignment w:val="auto"/>
        <w:outlineLvl w:val="9"/>
        <w:rPr>
          <w:rFonts w:hint="default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/>
          <w:sz w:val="32"/>
          <w:szCs w:val="32"/>
          <w:lang w:val="en-US" w:eastAsia="zh-CN"/>
        </w:rPr>
        <w:t>3.</w:t>
      </w:r>
      <w:r>
        <w:rPr>
          <w:rFonts w:hint="eastAsia" w:ascii="仿宋_GB2312" w:eastAsia="仿宋_GB2312"/>
          <w:sz w:val="32"/>
          <w:szCs w:val="32"/>
        </w:rPr>
        <w:t>6个</w:t>
      </w:r>
      <w:r>
        <w:rPr>
          <w:rFonts w:hint="eastAsia" w:ascii="仿宋_GB2312"/>
          <w:sz w:val="32"/>
          <w:szCs w:val="32"/>
          <w:lang w:eastAsia="zh-CN"/>
        </w:rPr>
        <w:t>部门</w:t>
      </w:r>
      <w:r>
        <w:rPr>
          <w:rFonts w:hint="eastAsia" w:ascii="仿宋_GB2312" w:eastAsia="仿宋_GB2312"/>
          <w:sz w:val="32"/>
          <w:szCs w:val="32"/>
        </w:rPr>
        <w:t>的10个项目未入项目库即安排预算，涉及预算金额538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.6万</w:t>
      </w:r>
      <w:r>
        <w:rPr>
          <w:rFonts w:hint="eastAsia" w:ascii="仿宋_GB2312" w:eastAsia="仿宋_GB2312"/>
          <w:sz w:val="32"/>
          <w:szCs w:val="32"/>
        </w:rPr>
        <w:t>元</w:t>
      </w:r>
      <w:r>
        <w:rPr>
          <w:rFonts w:hint="eastAsia" w:ascii="仿宋_GB2312"/>
          <w:sz w:val="32"/>
          <w:szCs w:val="32"/>
          <w:lang w:val="en-US" w:eastAsia="zh-CN"/>
        </w:rPr>
        <w:t>的问题</w:t>
      </w:r>
      <w:r>
        <w:rPr>
          <w:rFonts w:hint="eastAsia" w:ascii="仿宋_GB2312"/>
          <w:sz w:val="32"/>
          <w:szCs w:val="32"/>
          <w:lang w:eastAsia="zh-CN"/>
        </w:rPr>
        <w:t>。</w:t>
      </w:r>
      <w:r>
        <w:rPr>
          <w:rFonts w:hint="eastAsia" w:ascii="仿宋_GB2312"/>
          <w:sz w:val="32"/>
          <w:szCs w:val="32"/>
          <w:lang w:val="en-US" w:eastAsia="zh-CN"/>
        </w:rPr>
        <w:t>相关部门加强项目管理，规范项目设置，做细做实项目库，对年中追加预算项目一并纳入项目库管理，保障项目库的基础支撑作用，全面反映项目资金使用、绩效评价的真实性、有效性。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line="550" w:lineRule="exact"/>
        <w:ind w:firstLine="640" w:firstLineChars="200"/>
        <w:textAlignment w:val="auto"/>
        <w:outlineLvl w:val="9"/>
        <w:rPr>
          <w:rFonts w:hint="default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/>
          <w:sz w:val="32"/>
          <w:szCs w:val="32"/>
          <w:lang w:val="en-US" w:eastAsia="zh-CN"/>
        </w:rPr>
        <w:t>4.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8</w:t>
      </w:r>
      <w:r>
        <w:rPr>
          <w:rFonts w:hint="eastAsia" w:ascii="仿宋_GB2312" w:eastAsia="仿宋_GB2312"/>
          <w:sz w:val="32"/>
          <w:szCs w:val="32"/>
        </w:rPr>
        <w:t>个</w:t>
      </w:r>
      <w:r>
        <w:rPr>
          <w:rFonts w:hint="eastAsia" w:ascii="仿宋_GB2312"/>
          <w:sz w:val="32"/>
          <w:szCs w:val="32"/>
          <w:lang w:eastAsia="zh-CN"/>
        </w:rPr>
        <w:t>部门</w:t>
      </w:r>
      <w:r>
        <w:rPr>
          <w:rFonts w:hint="eastAsia" w:ascii="仿宋_GB2312" w:eastAsia="仿宋_GB2312"/>
          <w:sz w:val="32"/>
          <w:szCs w:val="32"/>
        </w:rPr>
        <w:t>的1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3</w:t>
      </w:r>
      <w:r>
        <w:rPr>
          <w:rFonts w:hint="eastAsia" w:ascii="仿宋_GB2312" w:eastAsia="仿宋_GB2312"/>
          <w:sz w:val="32"/>
          <w:szCs w:val="32"/>
        </w:rPr>
        <w:t>个专项资金使用率低于50%</w:t>
      </w:r>
      <w:r>
        <w:rPr>
          <w:rFonts w:hint="eastAsia" w:ascii="仿宋_GB2312"/>
          <w:sz w:val="32"/>
          <w:szCs w:val="32"/>
          <w:lang w:val="en-US" w:eastAsia="zh-CN"/>
        </w:rPr>
        <w:t>的问题。相关部门进行了整改，将进一步细化预算编制，加强项目前期论证，及时完成项目任务，提高财政资金的使用效率。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line="550" w:lineRule="exact"/>
        <w:ind w:firstLine="640" w:firstLineChars="200"/>
        <w:textAlignment w:val="auto"/>
        <w:outlineLvl w:val="9"/>
        <w:rPr>
          <w:rFonts w:hint="default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/>
          <w:sz w:val="32"/>
          <w:szCs w:val="32"/>
          <w:lang w:val="en-US" w:eastAsia="zh-CN"/>
        </w:rPr>
        <w:t>5.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个别</w:t>
      </w:r>
      <w:r>
        <w:rPr>
          <w:rFonts w:hint="eastAsia" w:ascii="仿宋_GB2312"/>
          <w:sz w:val="32"/>
          <w:szCs w:val="32"/>
          <w:lang w:val="en-US" w:eastAsia="zh-CN"/>
        </w:rPr>
        <w:t>部门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对项目建设监督管理不到位，缺少验收环节，导致部分项目在不符合条件的情况下运营</w:t>
      </w:r>
      <w:r>
        <w:rPr>
          <w:rFonts w:hint="eastAsia" w:ascii="仿宋_GB2312"/>
          <w:sz w:val="32"/>
          <w:szCs w:val="32"/>
          <w:lang w:val="en-US" w:eastAsia="zh-CN"/>
        </w:rPr>
        <w:t>的问题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。</w:t>
      </w:r>
      <w:r>
        <w:rPr>
          <w:rFonts w:hint="eastAsia" w:ascii="仿宋_GB2312"/>
          <w:sz w:val="32"/>
          <w:szCs w:val="32"/>
          <w:lang w:val="en-US" w:eastAsia="zh-CN"/>
        </w:rPr>
        <w:t>相关部门加强整改，一是补足验收环节，对照相关文件要求，实地察看项目设施软硬件，验收合格后方可运营；二是落实日常监管，采取实地察看和群众监督的方式，定期督导项目设施；三是强化属地管理责任，明确各街道园区对项目设施监管的主体责任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line="550" w:lineRule="exact"/>
        <w:ind w:firstLine="640" w:firstLineChars="200"/>
        <w:textAlignment w:val="auto"/>
        <w:outlineLvl w:val="9"/>
        <w:rPr>
          <w:rFonts w:hint="eastAsia" w:ascii="楷体_GB2312" w:hAnsi="仿宋_GB2312" w:eastAsia="楷体_GB2312"/>
          <w:sz w:val="32"/>
          <w:lang w:val="en-US" w:eastAsia="zh-CN"/>
        </w:rPr>
      </w:pPr>
      <w:r>
        <w:rPr>
          <w:rFonts w:hint="eastAsia" w:ascii="楷体_GB2312" w:hAnsi="仿宋_GB2312" w:eastAsia="楷体_GB2312"/>
          <w:sz w:val="32"/>
          <w:lang w:eastAsia="zh-CN"/>
        </w:rPr>
        <w:t>（</w:t>
      </w:r>
      <w:r>
        <w:rPr>
          <w:rFonts w:hint="eastAsia" w:ascii="楷体_GB2312" w:hAnsi="仿宋_GB2312" w:eastAsia="楷体_GB2312"/>
          <w:sz w:val="32"/>
          <w:lang w:val="en-US" w:eastAsia="zh-CN"/>
        </w:rPr>
        <w:t>三</w:t>
      </w:r>
      <w:r>
        <w:rPr>
          <w:rFonts w:hint="eastAsia" w:ascii="楷体_GB2312" w:hAnsi="仿宋_GB2312" w:eastAsia="楷体_GB2312"/>
          <w:sz w:val="32"/>
          <w:lang w:eastAsia="zh-CN"/>
        </w:rPr>
        <w:t>）</w:t>
      </w:r>
      <w:r>
        <w:rPr>
          <w:rFonts w:hint="eastAsia" w:ascii="楷体_GB2312" w:hAnsi="仿宋_GB2312" w:eastAsia="楷体_GB2312"/>
          <w:sz w:val="32"/>
        </w:rPr>
        <w:t>政府采购政策</w:t>
      </w:r>
      <w:r>
        <w:rPr>
          <w:rFonts w:hint="eastAsia" w:ascii="楷体_GB2312" w:hAnsi="仿宋_GB2312" w:eastAsia="楷体_GB2312"/>
          <w:sz w:val="32"/>
          <w:lang w:val="en-US" w:eastAsia="zh-CN"/>
        </w:rPr>
        <w:t>执行不到位</w:t>
      </w:r>
      <w:r>
        <w:rPr>
          <w:rFonts w:hint="eastAsia" w:ascii="楷体_GB2312" w:hAnsi="仿宋_GB2312" w:eastAsia="楷体_GB2312"/>
          <w:sz w:val="32"/>
        </w:rPr>
        <w:t>的问题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line="550" w:lineRule="exact"/>
        <w:ind w:firstLine="640" w:firstLineChars="200"/>
        <w:textAlignment w:val="auto"/>
        <w:outlineLvl w:val="9"/>
        <w:rPr>
          <w:rFonts w:hint="default" w:asci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cs="仿宋_GB2312"/>
          <w:kern w:val="0"/>
          <w:sz w:val="32"/>
          <w:szCs w:val="32"/>
          <w:lang w:val="en-US" w:eastAsia="zh-CN"/>
        </w:rPr>
        <w:t>1.</w:t>
      </w:r>
      <w:r>
        <w:rPr>
          <w:rFonts w:hint="eastAsia" w:ascii="仿宋_GB2312" w:eastAsia="仿宋_GB2312" w:cs="仿宋_GB2312"/>
          <w:kern w:val="0"/>
          <w:sz w:val="32"/>
          <w:szCs w:val="32"/>
        </w:rPr>
        <w:t>7个</w:t>
      </w:r>
      <w:r>
        <w:rPr>
          <w:rFonts w:hint="eastAsia" w:ascii="仿宋_GB2312" w:cs="仿宋_GB2312"/>
          <w:kern w:val="0"/>
          <w:sz w:val="32"/>
          <w:szCs w:val="32"/>
          <w:lang w:val="en-US" w:eastAsia="zh-CN"/>
        </w:rPr>
        <w:t>预算</w:t>
      </w:r>
      <w:r>
        <w:rPr>
          <w:rFonts w:hint="eastAsia" w:ascii="仿宋_GB2312" w:eastAsia="仿宋_GB2312" w:cs="仿宋_GB2312"/>
          <w:kern w:val="0"/>
          <w:sz w:val="32"/>
          <w:szCs w:val="32"/>
        </w:rPr>
        <w:t>部门应执行未执行采购预算612.28万元，2个部门应执行未执行购买服务预算36万元，影响了财政资金的使用效益</w:t>
      </w:r>
      <w:r>
        <w:rPr>
          <w:rFonts w:hint="eastAsia" w:ascii="仿宋_GB2312" w:cs="仿宋_GB2312"/>
          <w:kern w:val="0"/>
          <w:sz w:val="32"/>
          <w:szCs w:val="32"/>
          <w:lang w:val="en-US" w:eastAsia="zh-CN"/>
        </w:rPr>
        <w:t>的问题。相关部门今后将加强政府采购预算编制的前瞻性、计划性，严格按照批准的政府采购预算实行采购，对于不能及时采购的项目及时调整预算，提高预算资金的使用效益。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line="550" w:lineRule="exact"/>
        <w:ind w:firstLine="640" w:firstLineChars="200"/>
        <w:textAlignment w:val="auto"/>
        <w:outlineLvl w:val="9"/>
        <w:rPr>
          <w:rFonts w:hint="default" w:asci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cs="仿宋_GB2312"/>
          <w:kern w:val="0"/>
          <w:sz w:val="32"/>
          <w:szCs w:val="32"/>
          <w:lang w:val="en-US" w:eastAsia="zh-CN"/>
        </w:rPr>
        <w:t>2.</w:t>
      </w:r>
      <w:r>
        <w:rPr>
          <w:rFonts w:hint="eastAsia" w:ascii="仿宋_GB2312" w:eastAsia="仿宋_GB2312" w:cs="仿宋_GB2312"/>
          <w:kern w:val="0"/>
          <w:sz w:val="32"/>
          <w:szCs w:val="32"/>
          <w:lang w:val="en-US" w:eastAsia="zh-CN"/>
        </w:rPr>
        <w:t>10</w:t>
      </w:r>
      <w:r>
        <w:rPr>
          <w:rFonts w:hint="eastAsia" w:ascii="仿宋_GB2312" w:eastAsia="仿宋_GB2312" w:cs="仿宋_GB2312"/>
          <w:kern w:val="0"/>
          <w:sz w:val="32"/>
          <w:szCs w:val="32"/>
        </w:rPr>
        <w:t>个</w:t>
      </w:r>
      <w:r>
        <w:rPr>
          <w:rFonts w:hint="eastAsia" w:ascii="仿宋_GB2312" w:cs="仿宋_GB2312"/>
          <w:kern w:val="0"/>
          <w:sz w:val="32"/>
          <w:szCs w:val="32"/>
          <w:lang w:val="en-US" w:eastAsia="zh-CN"/>
        </w:rPr>
        <w:t>预算</w:t>
      </w:r>
      <w:r>
        <w:rPr>
          <w:rFonts w:hint="eastAsia" w:ascii="仿宋_GB2312" w:eastAsia="仿宋_GB2312" w:cs="仿宋_GB2312"/>
          <w:kern w:val="0"/>
          <w:sz w:val="32"/>
          <w:szCs w:val="32"/>
        </w:rPr>
        <w:t>部门未按规定公开政府采购合同1291.46万</w:t>
      </w:r>
      <w:r>
        <w:rPr>
          <w:rFonts w:hint="eastAsia" w:ascii="仿宋_GB2312" w:cs="仿宋_GB2312"/>
          <w:kern w:val="0"/>
          <w:sz w:val="32"/>
          <w:szCs w:val="32"/>
          <w:lang w:val="en-US" w:eastAsia="zh-CN"/>
        </w:rPr>
        <w:t>元的问题。相关部门进行了整改，下一步将严格执行合同公示制度，主动对接被采购方，及时上传采购信息，杜绝擅自采购的事情发生；同时成立政府采购监督管理小组，对每月产生的政府采购项目合同公示情况进行专项检查。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50" w:lineRule="exact"/>
        <w:ind w:firstLine="640" w:firstLineChars="200"/>
        <w:textAlignment w:val="auto"/>
        <w:outlineLvl w:val="9"/>
        <w:rPr>
          <w:rFonts w:hint="eastAsia" w:ascii="楷体_GB2312" w:hAnsi="仿宋_GB2312" w:eastAsia="楷体_GB2312"/>
          <w:sz w:val="32"/>
          <w:lang w:val="en-US" w:eastAsia="zh-CN"/>
        </w:rPr>
      </w:pPr>
      <w:r>
        <w:rPr>
          <w:rFonts w:hint="eastAsia" w:ascii="楷体_GB2312" w:hAnsi="仿宋_GB2312" w:eastAsia="楷体_GB2312"/>
          <w:sz w:val="32"/>
          <w:lang w:val="en-US" w:eastAsia="zh-CN"/>
        </w:rPr>
        <w:t>（四）部门资产管理有待加强的问题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50" w:lineRule="exact"/>
        <w:ind w:firstLine="640" w:firstLineChars="200"/>
        <w:textAlignment w:val="auto"/>
        <w:outlineLvl w:val="9"/>
        <w:rPr>
          <w:rFonts w:hint="default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/>
          <w:sz w:val="32"/>
          <w:szCs w:val="32"/>
          <w:lang w:val="en-US" w:eastAsia="zh-CN"/>
        </w:rPr>
        <w:t>1.个别街道出租房屋</w:t>
      </w:r>
      <w:r>
        <w:rPr>
          <w:rFonts w:hint="eastAsia" w:ascii="仿宋_GB2312" w:eastAsia="仿宋_GB2312"/>
          <w:sz w:val="32"/>
          <w:szCs w:val="32"/>
        </w:rPr>
        <w:t>签订租赁合同期限超过5年</w:t>
      </w:r>
      <w:r>
        <w:rPr>
          <w:rFonts w:hint="eastAsia" w:ascii="仿宋_GB2312"/>
          <w:sz w:val="32"/>
          <w:szCs w:val="32"/>
          <w:lang w:val="en-US" w:eastAsia="zh-CN"/>
        </w:rPr>
        <w:t>的问题。相关部门积极协调重新签订合同事宜，争取年底前整改完成。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50" w:lineRule="exact"/>
        <w:ind w:firstLine="640" w:firstLineChars="200"/>
        <w:textAlignment w:val="auto"/>
        <w:outlineLvl w:val="9"/>
        <w:rPr>
          <w:rFonts w:hint="default" w:eastAsia="仿宋_GB2312"/>
          <w:sz w:val="32"/>
          <w:lang w:val="en-US" w:eastAsia="zh-CN"/>
        </w:rPr>
      </w:pPr>
      <w:r>
        <w:rPr>
          <w:rFonts w:hint="eastAsia" w:ascii="仿宋_GB2312"/>
          <w:sz w:val="32"/>
          <w:szCs w:val="32"/>
          <w:lang w:val="en-US" w:eastAsia="zh-CN"/>
        </w:rPr>
        <w:t>2.个别街道自建房产长期</w:t>
      </w:r>
      <w:r>
        <w:rPr>
          <w:rFonts w:hint="eastAsia" w:ascii="仿宋_GB2312" w:eastAsia="仿宋_GB2312"/>
          <w:sz w:val="32"/>
          <w:szCs w:val="32"/>
        </w:rPr>
        <w:t>未入账</w:t>
      </w:r>
      <w:r>
        <w:rPr>
          <w:rFonts w:hint="eastAsia" w:ascii="仿宋_GB2312"/>
          <w:sz w:val="32"/>
          <w:szCs w:val="32"/>
          <w:lang w:val="en-US" w:eastAsia="zh-CN"/>
        </w:rPr>
        <w:t>的问题</w:t>
      </w:r>
      <w:r>
        <w:rPr>
          <w:rFonts w:hint="eastAsia" w:ascii="仿宋_GB2312" w:eastAsia="仿宋_GB2312"/>
          <w:sz w:val="32"/>
          <w:szCs w:val="32"/>
        </w:rPr>
        <w:t>。</w:t>
      </w:r>
      <w:r>
        <w:rPr>
          <w:rFonts w:hint="eastAsia" w:ascii="仿宋_GB2312"/>
          <w:sz w:val="32"/>
          <w:szCs w:val="32"/>
          <w:lang w:val="en-US" w:eastAsia="zh-CN"/>
        </w:rPr>
        <w:t>相关部门经研究决定，以房产证面积入账，截至目前，已将房产以估算值698.39万元入账，并录入固定资产管理系统。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50" w:lineRule="exact"/>
        <w:ind w:firstLine="640" w:firstLineChars="200"/>
        <w:textAlignment w:val="auto"/>
        <w:outlineLvl w:val="9"/>
        <w:rPr>
          <w:rFonts w:hint="eastAsia" w:ascii="楷体_GB2312" w:hAnsi="仿宋_GB2312" w:eastAsia="楷体_GB2312"/>
          <w:sz w:val="32"/>
          <w:lang w:val="en-US" w:eastAsia="zh-CN"/>
        </w:rPr>
      </w:pPr>
      <w:r>
        <w:rPr>
          <w:rFonts w:hint="eastAsia" w:ascii="楷体_GB2312" w:hAnsi="仿宋_GB2312" w:eastAsia="楷体_GB2312"/>
          <w:sz w:val="32"/>
          <w:lang w:val="en-US" w:eastAsia="zh-CN"/>
        </w:rPr>
        <w:t>（五）重点改革事项未推进落实的问题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50" w:lineRule="exact"/>
        <w:ind w:firstLine="640" w:firstLineChars="200"/>
        <w:textAlignment w:val="auto"/>
        <w:outlineLvl w:val="9"/>
        <w:rPr>
          <w:rFonts w:hint="default" w:ascii="黑体" w:hAnsi="黑体" w:eastAsia="黑体" w:cs="黑体"/>
          <w:lang w:val="en-US"/>
        </w:rPr>
      </w:pPr>
      <w:r>
        <w:rPr>
          <w:rFonts w:hint="eastAsia" w:ascii="仿宋_GB2312"/>
          <w:sz w:val="32"/>
          <w:szCs w:val="32"/>
          <w:lang w:val="en-US" w:eastAsia="zh-CN"/>
        </w:rPr>
        <w:t>个别部门未按要求完成城市养老服务设施配套任务的问题。相关部门进行了整改，目前已有5个小区完成配套任务，另有5个小区通过调剂解决问题，剩余1个小区尚未整改完成。</w:t>
      </w:r>
    </w:p>
    <w:p>
      <w:pPr>
        <w:spacing w:line="600" w:lineRule="exact"/>
        <w:ind w:firstLine="640" w:firstLineChars="200"/>
        <w:rPr>
          <w:rFonts w:ascii="黑体" w:hAnsi="黑体" w:eastAsia="黑体"/>
        </w:rPr>
      </w:pPr>
      <w:r>
        <w:rPr>
          <w:rFonts w:hint="eastAsia" w:ascii="黑体" w:hAnsi="黑体" w:eastAsia="黑体" w:cs="黑体"/>
          <w:lang w:val="en-US" w:eastAsia="zh-CN"/>
        </w:rPr>
        <w:t>三</w:t>
      </w:r>
      <w:r>
        <w:rPr>
          <w:rFonts w:hint="eastAsia" w:ascii="黑体" w:hAnsi="黑体" w:eastAsia="黑体" w:cs="黑体"/>
        </w:rPr>
        <w:t>、领导干部经济责任审计的整改情况</w:t>
      </w:r>
    </w:p>
    <w:p>
      <w:pPr>
        <w:spacing w:line="600" w:lineRule="exact"/>
        <w:ind w:firstLine="640" w:firstLineChars="200"/>
        <w:rPr>
          <w:rFonts w:hint="eastAsia" w:ascii="仿宋_GB2312"/>
        </w:rPr>
      </w:pPr>
      <w:r>
        <w:rPr>
          <w:rFonts w:hint="eastAsia" w:ascii="仿宋_GB2312"/>
        </w:rPr>
        <w:t>2019年7月至2020年7月对10名领导干部经济责任履行情况进行了审计，</w:t>
      </w:r>
      <w:r>
        <w:rPr>
          <w:rFonts w:hint="eastAsia" w:ascii="仿宋_GB2312"/>
          <w:lang w:val="en-US" w:eastAsia="zh-CN"/>
        </w:rPr>
        <w:t>发现问题金额8338万元。</w:t>
      </w:r>
      <w:r>
        <w:rPr>
          <w:rFonts w:hint="eastAsia" w:ascii="仿宋_GB2312"/>
        </w:rPr>
        <w:t>相关部门对审计整改工作普遍重视，制定了整改实施方案。截至11月底，领导干部经济责任审计的</w:t>
      </w:r>
      <w:r>
        <w:rPr>
          <w:rFonts w:hint="eastAsia" w:ascii="仿宋_GB2312"/>
          <w:lang w:val="en-US" w:eastAsia="zh-CN"/>
        </w:rPr>
        <w:t>57</w:t>
      </w:r>
      <w:r>
        <w:rPr>
          <w:rFonts w:hint="eastAsia" w:ascii="仿宋_GB2312"/>
        </w:rPr>
        <w:t>个具体问题</w:t>
      </w:r>
      <w:r>
        <w:rPr>
          <w:rFonts w:hint="eastAsia" w:ascii="仿宋_GB2312"/>
          <w:lang w:val="en-US" w:eastAsia="zh-CN"/>
        </w:rPr>
        <w:t>已全部整改到位。</w:t>
      </w:r>
      <w:r>
        <w:rPr>
          <w:rFonts w:hint="eastAsia" w:ascii="仿宋_GB2312"/>
        </w:rPr>
        <w:t>有关部门采纳审计建议</w:t>
      </w:r>
      <w:r>
        <w:rPr>
          <w:rFonts w:hint="eastAsia" w:ascii="仿宋_GB2312"/>
          <w:lang w:val="en-US" w:eastAsia="zh-CN"/>
        </w:rPr>
        <w:t>57</w:t>
      </w:r>
      <w:r>
        <w:rPr>
          <w:rFonts w:hint="eastAsia" w:ascii="仿宋_GB2312"/>
        </w:rPr>
        <w:t>条，制定完善规章制度</w:t>
      </w:r>
      <w:r>
        <w:rPr>
          <w:rFonts w:hint="eastAsia" w:ascii="仿宋_GB2312"/>
          <w:lang w:val="en-US" w:eastAsia="zh-CN"/>
        </w:rPr>
        <w:t>5</w:t>
      </w:r>
      <w:r>
        <w:rPr>
          <w:rFonts w:hint="eastAsia" w:ascii="仿宋_GB2312"/>
        </w:rPr>
        <w:t>项。</w:t>
      </w:r>
    </w:p>
    <w:p>
      <w:pPr>
        <w:spacing w:line="600" w:lineRule="exact"/>
        <w:ind w:firstLine="640" w:firstLineChars="200"/>
        <w:rPr>
          <w:rFonts w:ascii="仿宋_GB2312" w:hAnsi="黑体" w:cs="仿宋_GB2312"/>
        </w:rPr>
      </w:pPr>
    </w:p>
    <w:sectPr>
      <w:footerReference r:id="rId3" w:type="default"/>
      <w:pgSz w:w="11906" w:h="16838"/>
      <w:pgMar w:top="2098" w:right="1531" w:bottom="1985" w:left="1531" w:header="851" w:footer="992" w:gutter="0"/>
      <w:pgNumType w:fmt="numberInDash"/>
      <w:cols w:space="425" w:num="1"/>
      <w:docGrid w:type="lines" w:linePitch="57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center"/>
      <w:rPr>
        <w:rFonts w:ascii="仿宋_GB2312" w:hAnsi="宋体"/>
        <w:sz w:val="28"/>
        <w:szCs w:val="28"/>
      </w:rPr>
    </w:pPr>
    <w:r>
      <w:rPr>
        <w:rFonts w:ascii="仿宋_GB2312" w:hAnsi="宋体" w:cs="仿宋_GB2312"/>
        <w:sz w:val="28"/>
        <w:szCs w:val="28"/>
      </w:rPr>
      <w:fldChar w:fldCharType="begin"/>
    </w:r>
    <w:r>
      <w:rPr>
        <w:rFonts w:ascii="仿宋_GB2312" w:hAnsi="宋体" w:cs="仿宋_GB2312"/>
        <w:sz w:val="28"/>
        <w:szCs w:val="28"/>
      </w:rPr>
      <w:instrText xml:space="preserve"> PAGE   \* MERGEFORMAT </w:instrText>
    </w:r>
    <w:r>
      <w:rPr>
        <w:rFonts w:ascii="仿宋_GB2312" w:hAnsi="宋体" w:cs="仿宋_GB2312"/>
        <w:sz w:val="28"/>
        <w:szCs w:val="28"/>
      </w:rPr>
      <w:fldChar w:fldCharType="separate"/>
    </w:r>
    <w:r>
      <w:rPr>
        <w:rFonts w:ascii="仿宋_GB2312" w:hAnsi="宋体" w:cs="仿宋_GB2312"/>
        <w:sz w:val="28"/>
        <w:szCs w:val="28"/>
        <w:lang w:val="zh-CN"/>
      </w:rPr>
      <w:t>-</w:t>
    </w:r>
    <w:r>
      <w:rPr>
        <w:rFonts w:ascii="仿宋_GB2312" w:hAnsi="宋体" w:cs="仿宋_GB2312"/>
        <w:sz w:val="28"/>
        <w:szCs w:val="28"/>
      </w:rPr>
      <w:t xml:space="preserve"> 7 -</w:t>
    </w:r>
    <w:r>
      <w:rPr>
        <w:rFonts w:ascii="仿宋_GB2312" w:hAnsi="宋体" w:cs="仿宋_GB2312"/>
        <w:sz w:val="28"/>
        <w:szCs w:val="28"/>
      </w:rPr>
      <w:fldChar w:fldCharType="end"/>
    </w:r>
  </w:p>
  <w:p>
    <w:pPr>
      <w:pStyle w:val="3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522530C"/>
    <w:multiLevelType w:val="singleLevel"/>
    <w:tmpl w:val="7522530C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NotTrackMoves/>
  <w:documentProtection w:enforcement="0"/>
  <w:defaultTabStop w:val="420"/>
  <w:doNotHyphenateCaps/>
  <w:drawingGridHorizontalSpacing w:val="160"/>
  <w:drawingGridVerticalSpacing w:val="579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208B"/>
    <w:rsid w:val="000027D6"/>
    <w:rsid w:val="00007D8D"/>
    <w:rsid w:val="00014972"/>
    <w:rsid w:val="0002122C"/>
    <w:rsid w:val="000311A4"/>
    <w:rsid w:val="00077E77"/>
    <w:rsid w:val="00080D02"/>
    <w:rsid w:val="00082CB3"/>
    <w:rsid w:val="000C37A3"/>
    <w:rsid w:val="000E6D43"/>
    <w:rsid w:val="000F6758"/>
    <w:rsid w:val="00106584"/>
    <w:rsid w:val="001166BE"/>
    <w:rsid w:val="0012208B"/>
    <w:rsid w:val="00123DA1"/>
    <w:rsid w:val="00132483"/>
    <w:rsid w:val="001370C0"/>
    <w:rsid w:val="001502F3"/>
    <w:rsid w:val="00156205"/>
    <w:rsid w:val="001654A1"/>
    <w:rsid w:val="00166590"/>
    <w:rsid w:val="001A2EA0"/>
    <w:rsid w:val="001A7314"/>
    <w:rsid w:val="001D595F"/>
    <w:rsid w:val="001E5829"/>
    <w:rsid w:val="001F5114"/>
    <w:rsid w:val="001F645B"/>
    <w:rsid w:val="00266C6E"/>
    <w:rsid w:val="002830EB"/>
    <w:rsid w:val="00296FF7"/>
    <w:rsid w:val="002B664B"/>
    <w:rsid w:val="002C7140"/>
    <w:rsid w:val="002D787A"/>
    <w:rsid w:val="002F3E93"/>
    <w:rsid w:val="00301970"/>
    <w:rsid w:val="00306F69"/>
    <w:rsid w:val="00314653"/>
    <w:rsid w:val="00321B44"/>
    <w:rsid w:val="00325D65"/>
    <w:rsid w:val="003372CA"/>
    <w:rsid w:val="00341F27"/>
    <w:rsid w:val="00357007"/>
    <w:rsid w:val="00381838"/>
    <w:rsid w:val="00397B41"/>
    <w:rsid w:val="003A2D81"/>
    <w:rsid w:val="003D4071"/>
    <w:rsid w:val="003F4276"/>
    <w:rsid w:val="00404B41"/>
    <w:rsid w:val="00415574"/>
    <w:rsid w:val="00422CD9"/>
    <w:rsid w:val="0043711C"/>
    <w:rsid w:val="004428A8"/>
    <w:rsid w:val="004538CE"/>
    <w:rsid w:val="004708FD"/>
    <w:rsid w:val="004716DF"/>
    <w:rsid w:val="00480811"/>
    <w:rsid w:val="004826F3"/>
    <w:rsid w:val="00492883"/>
    <w:rsid w:val="00496D85"/>
    <w:rsid w:val="004B24B7"/>
    <w:rsid w:val="004C6A05"/>
    <w:rsid w:val="004E567D"/>
    <w:rsid w:val="005005CB"/>
    <w:rsid w:val="005348F8"/>
    <w:rsid w:val="00572785"/>
    <w:rsid w:val="005852C0"/>
    <w:rsid w:val="00590288"/>
    <w:rsid w:val="005A402B"/>
    <w:rsid w:val="005B2164"/>
    <w:rsid w:val="005D3CCE"/>
    <w:rsid w:val="005E539B"/>
    <w:rsid w:val="00610CE7"/>
    <w:rsid w:val="00616E0E"/>
    <w:rsid w:val="00632E47"/>
    <w:rsid w:val="00636CD3"/>
    <w:rsid w:val="00670648"/>
    <w:rsid w:val="0067464C"/>
    <w:rsid w:val="00684DC8"/>
    <w:rsid w:val="00697CD1"/>
    <w:rsid w:val="006D20B0"/>
    <w:rsid w:val="006F05FA"/>
    <w:rsid w:val="006F0B69"/>
    <w:rsid w:val="007017D0"/>
    <w:rsid w:val="00702869"/>
    <w:rsid w:val="0073533D"/>
    <w:rsid w:val="00756CDE"/>
    <w:rsid w:val="00762EFB"/>
    <w:rsid w:val="00797B2D"/>
    <w:rsid w:val="007A2EE5"/>
    <w:rsid w:val="007D0F40"/>
    <w:rsid w:val="007E2AFD"/>
    <w:rsid w:val="007E4001"/>
    <w:rsid w:val="007E5BCA"/>
    <w:rsid w:val="007F4683"/>
    <w:rsid w:val="008018E1"/>
    <w:rsid w:val="00801BCB"/>
    <w:rsid w:val="0080536B"/>
    <w:rsid w:val="00805B7B"/>
    <w:rsid w:val="00812B20"/>
    <w:rsid w:val="00833330"/>
    <w:rsid w:val="008401C8"/>
    <w:rsid w:val="0084361E"/>
    <w:rsid w:val="008551A4"/>
    <w:rsid w:val="008601E6"/>
    <w:rsid w:val="00862D16"/>
    <w:rsid w:val="00885B3B"/>
    <w:rsid w:val="00892343"/>
    <w:rsid w:val="008951A0"/>
    <w:rsid w:val="00895ACE"/>
    <w:rsid w:val="00897E5A"/>
    <w:rsid w:val="008A33EC"/>
    <w:rsid w:val="008A3686"/>
    <w:rsid w:val="008C19E1"/>
    <w:rsid w:val="008C394A"/>
    <w:rsid w:val="008D0694"/>
    <w:rsid w:val="008F38C0"/>
    <w:rsid w:val="008F62E3"/>
    <w:rsid w:val="00902B81"/>
    <w:rsid w:val="009234A6"/>
    <w:rsid w:val="0093265B"/>
    <w:rsid w:val="0094046B"/>
    <w:rsid w:val="00942B67"/>
    <w:rsid w:val="00961AF8"/>
    <w:rsid w:val="009740FC"/>
    <w:rsid w:val="009760C9"/>
    <w:rsid w:val="00984458"/>
    <w:rsid w:val="00993006"/>
    <w:rsid w:val="009A6E18"/>
    <w:rsid w:val="009B00D4"/>
    <w:rsid w:val="009C2248"/>
    <w:rsid w:val="009D29C2"/>
    <w:rsid w:val="009E6960"/>
    <w:rsid w:val="009F58DE"/>
    <w:rsid w:val="00A40C2E"/>
    <w:rsid w:val="00A50622"/>
    <w:rsid w:val="00A56F66"/>
    <w:rsid w:val="00A603D0"/>
    <w:rsid w:val="00A62F0C"/>
    <w:rsid w:val="00A81798"/>
    <w:rsid w:val="00AB57D5"/>
    <w:rsid w:val="00AC6EFF"/>
    <w:rsid w:val="00AD5BED"/>
    <w:rsid w:val="00AE49F2"/>
    <w:rsid w:val="00AF5DED"/>
    <w:rsid w:val="00B355F4"/>
    <w:rsid w:val="00B4480A"/>
    <w:rsid w:val="00B475E4"/>
    <w:rsid w:val="00B824D6"/>
    <w:rsid w:val="00B8364D"/>
    <w:rsid w:val="00B92EAD"/>
    <w:rsid w:val="00B96AC2"/>
    <w:rsid w:val="00BB33E3"/>
    <w:rsid w:val="00BD132D"/>
    <w:rsid w:val="00BD2FA9"/>
    <w:rsid w:val="00BF4383"/>
    <w:rsid w:val="00C05744"/>
    <w:rsid w:val="00C21047"/>
    <w:rsid w:val="00C5191D"/>
    <w:rsid w:val="00C63E36"/>
    <w:rsid w:val="00CB67DA"/>
    <w:rsid w:val="00CB7E57"/>
    <w:rsid w:val="00CE2120"/>
    <w:rsid w:val="00CE4A6B"/>
    <w:rsid w:val="00CF40F7"/>
    <w:rsid w:val="00CF6A1C"/>
    <w:rsid w:val="00D01415"/>
    <w:rsid w:val="00D13E88"/>
    <w:rsid w:val="00D232A5"/>
    <w:rsid w:val="00D432D4"/>
    <w:rsid w:val="00D441F8"/>
    <w:rsid w:val="00D505FC"/>
    <w:rsid w:val="00D61E74"/>
    <w:rsid w:val="00DB0203"/>
    <w:rsid w:val="00DB2DC0"/>
    <w:rsid w:val="00DE6DFD"/>
    <w:rsid w:val="00DF7AF7"/>
    <w:rsid w:val="00E03F49"/>
    <w:rsid w:val="00E2149F"/>
    <w:rsid w:val="00E349C0"/>
    <w:rsid w:val="00E71DC2"/>
    <w:rsid w:val="00E722E2"/>
    <w:rsid w:val="00E80DEA"/>
    <w:rsid w:val="00E82484"/>
    <w:rsid w:val="00EA5906"/>
    <w:rsid w:val="00EA6478"/>
    <w:rsid w:val="00EB7F1A"/>
    <w:rsid w:val="00F1092F"/>
    <w:rsid w:val="00F60BAE"/>
    <w:rsid w:val="00F950F2"/>
    <w:rsid w:val="00FB13D8"/>
    <w:rsid w:val="068A2BAB"/>
    <w:rsid w:val="08723980"/>
    <w:rsid w:val="21DD45F3"/>
    <w:rsid w:val="3B232C28"/>
    <w:rsid w:val="3E8A28DE"/>
    <w:rsid w:val="5B866462"/>
    <w:rsid w:val="622A6F8F"/>
    <w:rsid w:val="6A452DBA"/>
    <w:rsid w:val="6B0A5EF6"/>
    <w:rsid w:val="6FC01847"/>
    <w:rsid w:val="7A786B24"/>
    <w:rsid w:val="7CCC19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3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unhideWhenUsed/>
    <w:qFormat/>
    <w:uiPriority w:val="99"/>
    <w:pPr>
      <w:widowControl w:val="0"/>
      <w:autoSpaceDE w:val="0"/>
      <w:autoSpaceDN w:val="0"/>
      <w:adjustRightInd w:val="0"/>
    </w:pPr>
    <w:rPr>
      <w:rFonts w:hint="eastAsia" w:ascii="仿宋_GB2312" w:hAnsi="仿宋_GB2312" w:eastAsia="仿宋_GB2312" w:cs="Times New Roman"/>
      <w:color w:val="000000"/>
      <w:sz w:val="24"/>
      <w:szCs w:val="22"/>
      <w:lang w:val="en-US" w:eastAsia="zh-CN" w:bidi="ar-SA"/>
    </w:rPr>
  </w:style>
  <w:style w:type="paragraph" w:styleId="3">
    <w:name w:val="footer"/>
    <w:basedOn w:val="1"/>
    <w:link w:val="9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semiHidden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8">
    <w:name w:val="页眉 Char"/>
    <w:basedOn w:val="7"/>
    <w:link w:val="4"/>
    <w:semiHidden/>
    <w:qFormat/>
    <w:locked/>
    <w:uiPriority w:val="99"/>
    <w:rPr>
      <w:rFonts w:ascii="Times New Roman" w:hAnsi="Times New Roman" w:eastAsia="仿宋_GB2312" w:cs="Times New Roman"/>
      <w:sz w:val="18"/>
      <w:szCs w:val="18"/>
    </w:rPr>
  </w:style>
  <w:style w:type="character" w:customStyle="1" w:styleId="9">
    <w:name w:val="页脚 Char"/>
    <w:basedOn w:val="7"/>
    <w:link w:val="3"/>
    <w:qFormat/>
    <w:locked/>
    <w:uiPriority w:val="99"/>
    <w:rPr>
      <w:rFonts w:ascii="Times New Roman" w:hAnsi="Times New Roman" w:eastAsia="仿宋_GB2312" w:cs="Times New Roman"/>
      <w:sz w:val="18"/>
      <w:szCs w:val="18"/>
    </w:rPr>
  </w:style>
  <w:style w:type="paragraph" w:customStyle="1" w:styleId="10">
    <w:name w:val="正文 New"/>
    <w:qFormat/>
    <w:uiPriority w:val="99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8</Pages>
  <Words>548</Words>
  <Characters>3129</Characters>
  <Lines>26</Lines>
  <Paragraphs>7</Paragraphs>
  <TotalTime>150</TotalTime>
  <ScaleCrop>false</ScaleCrop>
  <LinksUpToDate>false</LinksUpToDate>
  <CharactersWithSpaces>3670</CharactersWithSpaces>
  <Application>WPS Office_11.8.2.8999_F1E327BC-269C-435d-A152-05C5408002CA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2019-12-09T07:51:00Z</dcterms:created>
  <dc:creator>PC</dc:creator>
  <cp:lastModifiedBy>fuxiao</cp:lastModifiedBy>
  <cp:lastPrinted>2021-12-27T02:49:00Z</cp:lastPrinted>
  <dcterms:modified xsi:type="dcterms:W3CDTF">2022-02-17T08:33:05Z</dcterms:modified>
  <cp:revision>55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2052-11.8.2.8999</vt:lpwstr>
  </property>
</Properties>
</file>