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烟台市莱山区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2024年度区级预算执行和其他财政收支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审计工作报告</w:t>
      </w:r>
    </w:p>
    <w:p>
      <w:pPr>
        <w:spacing w:line="560" w:lineRule="exact"/>
        <w:ind w:firstLine="730" w:firstLineChars="166"/>
        <w:jc w:val="center"/>
        <w:rPr>
          <w:rFonts w:ascii="宋体" w:hAnsi="宋体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根据审计法规定和区委审计委员会批准的审计项目计划，区审计局组织对2024年度区级预算执行和其他财政收支、</w:t>
      </w:r>
      <w:r>
        <w:rPr>
          <w:rFonts w:hint="eastAsia" w:ascii="仿宋_GB2312" w:hAnsi="仿宋_GB2312" w:cs="仿宋_GB2312"/>
          <w:lang w:val="en-US" w:eastAsia="zh-CN"/>
        </w:rPr>
        <w:t>2个部门</w:t>
      </w:r>
      <w:r>
        <w:rPr>
          <w:rFonts w:hint="eastAsia" w:ascii="仿宋_GB2312" w:hAnsi="仿宋_GB2312" w:eastAsia="仿宋_GB2312" w:cs="仿宋_GB2312"/>
        </w:rPr>
        <w:t>2024年度预算执行和其他财政收支、地方债务管理和风险防范、重大政策措施贯彻落实等情况进行了审计或审计调查。审计结果表明，2024年，区级预算执行情况总体良好，财政运行总体平稳</w:t>
      </w:r>
      <w:r>
        <w:rPr>
          <w:rFonts w:hint="eastAsia" w:ascii="仿宋_GB2312" w:hAnsi="仿宋_GB2312" w:eastAsia="仿宋_GB2312" w:cs="仿宋_GB2312"/>
          <w:lang w:eastAsia="zh-CN"/>
        </w:rPr>
        <w:t>，</w:t>
      </w:r>
      <w:r>
        <w:rPr>
          <w:rFonts w:hint="eastAsia" w:ascii="仿宋_GB2312" w:hAnsi="仿宋_GB2312" w:eastAsia="仿宋_GB2312" w:cs="仿宋_GB2312"/>
        </w:rPr>
        <w:t>但在资源统筹、预算绩效等方面还存在一些问题。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审计发现的主要问题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jc w:val="both"/>
        <w:textAlignment w:val="auto"/>
        <w:rPr>
          <w:rFonts w:eastAsia="楷体_GB2312"/>
        </w:rPr>
      </w:pPr>
      <w:r>
        <w:rPr>
          <w:rFonts w:hint="eastAsia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（一）预决算管理审计情况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1.财政资源统筹力度</w:t>
      </w:r>
      <w:r>
        <w:rPr>
          <w:rFonts w:hint="eastAsia" w:ascii="仿宋_GB2312" w:hAnsi="仿宋_GB2312" w:eastAsia="仿宋_GB2312" w:cs="仿宋_GB2312"/>
          <w:lang w:eastAsia="zh-CN"/>
        </w:rPr>
        <w:t>不足</w:t>
      </w:r>
      <w:r>
        <w:rPr>
          <w:rFonts w:hint="eastAsia" w:ascii="仿宋_GB2312" w:hAnsi="仿宋_GB2312" w:eastAsia="仿宋_GB2312" w:cs="仿宋_GB2312"/>
        </w:rPr>
        <w:t>。非财政拨款结余资金363.92万元未按要求编列年初预算，未纳入预算统筹使用</w:t>
      </w:r>
      <w:r>
        <w:rPr>
          <w:rFonts w:hint="eastAsia" w:ascii="仿宋_GB2312" w:hAnsi="仿宋_GB2312" w:eastAsia="仿宋_GB2312" w:cs="仿宋_GB2312"/>
          <w:lang w:eastAsia="zh-CN"/>
        </w:rPr>
        <w:t>；</w:t>
      </w:r>
      <w:r>
        <w:rPr>
          <w:rFonts w:hint="eastAsia" w:ascii="仿宋_GB2312" w:hAnsi="仿宋_GB2312" w:eastAsia="仿宋_GB2312" w:cs="仿宋_GB2312"/>
        </w:rPr>
        <w:t>8个单位存量资金725.98万元长期闲置，影响资金使用效益。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2.预算管理</w:t>
      </w:r>
      <w:r>
        <w:rPr>
          <w:rFonts w:hint="eastAsia" w:ascii="仿宋_GB2312" w:hAnsi="仿宋_GB2312" w:eastAsia="仿宋_GB2312" w:cs="仿宋_GB2312"/>
          <w:lang w:eastAsia="zh-CN"/>
        </w:rPr>
        <w:t>不严格</w:t>
      </w:r>
      <w:r>
        <w:rPr>
          <w:rFonts w:hint="eastAsia" w:ascii="仿宋_GB2312" w:hAnsi="仿宋_GB2312" w:eastAsia="仿宋_GB2312" w:cs="仿宋_GB2312"/>
        </w:rPr>
        <w:t>。31个项目年度绩效指标设置量化不足；4个单位的预算绩效运行监控不到位、不合规；2个单位绩效自评表评分不准确</w:t>
      </w:r>
      <w:r>
        <w:rPr>
          <w:rFonts w:hint="eastAsia" w:ascii="仿宋_GB2312" w:hAnsi="仿宋_GB2312" w:eastAsia="仿宋_GB2312" w:cs="仿宋_GB2312"/>
          <w:lang w:eastAsia="zh-CN"/>
        </w:rPr>
        <w:t>；</w:t>
      </w:r>
      <w:r>
        <w:rPr>
          <w:rFonts w:hint="eastAsia" w:ascii="仿宋_GB2312" w:hAnsi="仿宋_GB2312" w:eastAsia="仿宋_GB2312" w:cs="仿宋_GB2312"/>
        </w:rPr>
        <w:t>3个单位应执行未执行政府采购预算3.4万元。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3.落实中央八项规定精神和过紧日子要求不到位。1个单位未在内部会议室举办50人以下的小型会议；2个单位绿植租赁支出较大；3个单位未经审批长期租用社会车辆且管控不到位；3个单位未按照要求对“五项经费”年初预算进行压减；个别单位差旅费超预算列支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4.非税收入收缴管理不规范。9个部门街道滞留非税收入334.76万元，未及时上缴财政。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pacing w:line="560" w:lineRule="exact"/>
        <w:ind w:firstLine="640" w:firstLineChars="200"/>
        <w:textAlignment w:val="auto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（二）地方债务管理和风险防范审计情况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专项债券</w:t>
      </w:r>
      <w:r>
        <w:rPr>
          <w:rFonts w:hint="eastAsia" w:ascii="仿宋_GB2312" w:hAnsi="仿宋_GB2312" w:eastAsia="仿宋_GB2312" w:cs="仿宋_GB2312"/>
          <w:lang w:val="en-US" w:eastAsia="zh-CN"/>
        </w:rPr>
        <w:t>项目管理不到位</w:t>
      </w:r>
      <w:r>
        <w:rPr>
          <w:rFonts w:hint="eastAsia" w:ascii="仿宋_GB2312" w:hAnsi="仿宋_GB2312" w:eastAsia="仿宋_GB2312" w:cs="仿宋_GB2312"/>
        </w:rPr>
        <w:t>。因前期准备不充分</w:t>
      </w:r>
      <w:r>
        <w:rPr>
          <w:rFonts w:hint="eastAsia" w:ascii="仿宋_GB2312" w:hAnsi="仿宋_GB2312" w:eastAsia="仿宋_GB2312" w:cs="仿宋_GB2312"/>
          <w:lang w:eastAsia="zh-CN"/>
        </w:rPr>
        <w:t>、</w:t>
      </w:r>
      <w:r>
        <w:rPr>
          <w:rFonts w:hint="eastAsia" w:ascii="仿宋_GB2312" w:hAnsi="仿宋_GB2312" w:eastAsia="仿宋_GB2312" w:cs="仿宋_GB2312"/>
        </w:rPr>
        <w:t>整体规划方案调整等原因，3个项目未按期完工</w:t>
      </w:r>
      <w:r>
        <w:rPr>
          <w:rFonts w:hint="eastAsia" w:ascii="仿宋_GB2312" w:hAnsi="仿宋_GB2312" w:cs="仿宋_GB2312"/>
          <w:lang w:eastAsia="zh-CN"/>
        </w:rPr>
        <w:t>，</w:t>
      </w:r>
      <w:r>
        <w:rPr>
          <w:rFonts w:hint="eastAsia" w:ascii="仿宋_GB2312" w:hAnsi="仿宋_GB2312" w:cs="仿宋_GB2312"/>
          <w:lang w:val="en-US" w:eastAsia="zh-CN"/>
        </w:rPr>
        <w:t>1个</w:t>
      </w:r>
      <w:r>
        <w:rPr>
          <w:rFonts w:hint="eastAsia" w:ascii="仿宋_GB2312" w:hAnsi="仿宋_GB2312" w:eastAsia="仿宋_GB2312" w:cs="仿宋_GB2312"/>
        </w:rPr>
        <w:t>项目开工较晚</w:t>
      </w:r>
      <w:r>
        <w:rPr>
          <w:rFonts w:hint="eastAsia" w:ascii="仿宋_GB2312" w:hAnsi="仿宋_GB2312" w:cs="仿宋_GB2312"/>
          <w:lang w:eastAsia="zh-CN"/>
        </w:rPr>
        <w:t>，</w:t>
      </w:r>
      <w:r>
        <w:rPr>
          <w:rFonts w:hint="eastAsia" w:ascii="仿宋_GB2312" w:hAnsi="仿宋_GB2312" w:cs="仿宋_GB2312"/>
          <w:lang w:val="en-US" w:eastAsia="zh-CN"/>
        </w:rPr>
        <w:t>1个项目</w:t>
      </w:r>
      <w:r>
        <w:rPr>
          <w:rFonts w:hint="eastAsia" w:ascii="仿宋_GB2312" w:hAnsi="仿宋_GB2312" w:eastAsia="仿宋_GB2312" w:cs="仿宋_GB2312"/>
        </w:rPr>
        <w:t>尚未开工。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pacing w:line="560" w:lineRule="exact"/>
        <w:ind w:firstLine="640" w:firstLineChars="200"/>
        <w:textAlignment w:val="auto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（三）重大政策和重点民生资金审计情况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1.超长期特别国债资金管理使用方面。</w:t>
      </w:r>
      <w:r>
        <w:rPr>
          <w:rFonts w:hint="eastAsia" w:ascii="仿宋_GB2312" w:hAnsi="仿宋_GB2312" w:eastAsia="仿宋_GB2312" w:cs="仿宋_GB2312"/>
          <w:lang w:val="en-US" w:eastAsia="zh-CN"/>
        </w:rPr>
        <w:t>个别项目</w:t>
      </w:r>
      <w:r>
        <w:rPr>
          <w:rFonts w:hint="eastAsia" w:ascii="仿宋_GB2312" w:hAnsi="仿宋_GB2312" w:eastAsia="仿宋_GB2312" w:cs="仿宋_GB2312"/>
        </w:rPr>
        <w:t>前期准备工作不足，建设进度滞后；2个</w:t>
      </w:r>
      <w:r>
        <w:rPr>
          <w:rFonts w:hint="eastAsia" w:ascii="仿宋_GB2312" w:hAnsi="仿宋_GB2312" w:eastAsia="仿宋_GB2312" w:cs="仿宋_GB231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</w:rPr>
        <w:t>未设定年度绩效目标。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2.省级产业政策</w:t>
      </w:r>
      <w:r>
        <w:rPr>
          <w:rFonts w:hint="eastAsia" w:ascii="仿宋_GB2312" w:hAnsi="仿宋_GB2312" w:eastAsia="仿宋_GB2312" w:cs="仿宋_GB2312"/>
          <w:lang w:val="en-US" w:eastAsia="zh-CN"/>
        </w:rPr>
        <w:t>专项</w:t>
      </w:r>
      <w:r>
        <w:rPr>
          <w:rFonts w:hint="eastAsia" w:ascii="仿宋_GB2312" w:hAnsi="仿宋_GB2312" w:eastAsia="仿宋_GB2312" w:cs="仿宋_GB2312"/>
        </w:rPr>
        <w:t>资金</w:t>
      </w:r>
      <w:r>
        <w:rPr>
          <w:rFonts w:hint="eastAsia" w:ascii="仿宋_GB2312" w:hAnsi="仿宋_GB2312" w:eastAsia="仿宋_GB2312" w:cs="仿宋_GB2312"/>
          <w:lang w:val="en-US" w:eastAsia="zh-CN"/>
        </w:rPr>
        <w:t>管理使用</w:t>
      </w:r>
      <w:r>
        <w:rPr>
          <w:rFonts w:hint="eastAsia" w:ascii="仿宋_GB2312" w:hAnsi="仿宋_GB2312" w:eastAsia="仿宋_GB2312" w:cs="仿宋_GB2312"/>
        </w:rPr>
        <w:t>方面。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省级服务业发展引导资金150万元，未及时拨付至相关企业</w:t>
      </w:r>
      <w:r>
        <w:rPr>
          <w:rFonts w:hint="eastAsia" w:ascii="仿宋_GB2312" w:hAnsi="仿宋_GB2312" w:eastAsia="仿宋_GB2312" w:cs="仿宋_GB2312"/>
          <w:lang w:eastAsia="zh-CN"/>
        </w:rPr>
        <w:t>；</w:t>
      </w:r>
      <w:r>
        <w:rPr>
          <w:rFonts w:hint="eastAsia" w:ascii="仿宋_GB2312" w:hAnsi="仿宋_GB2312" w:eastAsia="仿宋_GB2312" w:cs="仿宋_GB2312"/>
        </w:rPr>
        <w:t>省级工业转型发展资金468万元未拨付到位。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cs="仿宋_GB2312"/>
          <w:szCs w:val="32"/>
          <w:highlight w:val="none"/>
        </w:rPr>
      </w:pPr>
      <w:r>
        <w:rPr>
          <w:rFonts w:ascii="仿宋_GB2312" w:hAnsi="仿宋_GB2312" w:cs="仿宋_GB2312"/>
          <w:szCs w:val="32"/>
        </w:rPr>
        <w:t>3</w:t>
      </w:r>
      <w:r>
        <w:rPr>
          <w:rFonts w:hint="eastAsia" w:ascii="仿宋_GB2312" w:hAnsi="仿宋_GB2312" w:cs="仿宋_GB2312"/>
          <w:szCs w:val="32"/>
        </w:rPr>
        <w:t>.民政领域相关政策落实方面。</w:t>
      </w:r>
      <w:r>
        <w:rPr>
          <w:rFonts w:hint="eastAsia" w:ascii="仿宋_GB2312" w:hAnsi="仿宋_GB2312" w:cs="仿宋_GB2312"/>
          <w:szCs w:val="32"/>
          <w:highlight w:val="none"/>
        </w:rPr>
        <w:t>地方留成福彩公益金支出比例未达到55%的要求；社区</w:t>
      </w:r>
      <w:r>
        <w:rPr>
          <w:rFonts w:hint="eastAsia" w:ascii="仿宋_GB2312" w:hAnsi="仿宋_GB2312" w:cs="仿宋_GB2312"/>
          <w:szCs w:val="32"/>
        </w:rPr>
        <w:t>养老服务运营管理与建设规划不到位，</w:t>
      </w:r>
      <w:r>
        <w:rPr>
          <w:rFonts w:hint="eastAsia" w:ascii="仿宋_GB2312" w:hAnsi="宋体" w:cs="宋体"/>
          <w:bCs/>
          <w:color w:val="000000"/>
          <w:spacing w:val="-6"/>
          <w:kern w:val="0"/>
          <w:szCs w:val="32"/>
        </w:rPr>
        <w:t>多个社区的日间照料中心处于缺失状态，</w:t>
      </w:r>
      <w:r>
        <w:rPr>
          <w:rFonts w:hint="eastAsia" w:ascii="仿宋_GB2312" w:hAnsi="仿宋_GB2312" w:cs="仿宋_GB2312"/>
          <w:szCs w:val="32"/>
        </w:rPr>
        <w:t>智慧社区养老试点任务未完成</w:t>
      </w:r>
      <w:r>
        <w:rPr>
          <w:rFonts w:hint="eastAsia" w:ascii="仿宋_GB2312" w:hAnsi="宋体" w:cs="宋体"/>
          <w:bCs/>
          <w:color w:val="000000"/>
          <w:spacing w:val="-6"/>
          <w:kern w:val="0"/>
          <w:szCs w:val="32"/>
        </w:rPr>
        <w:t>；公益性公墓建设规划编制工作进度缓慢；莱山区节地生态安葬比例未达到50%的要求；</w:t>
      </w:r>
      <w:r>
        <w:rPr>
          <w:rFonts w:hint="eastAsia" w:ascii="仿宋_GB2312" w:hAnsi="宋体" w:cs="宋体"/>
          <w:bCs/>
          <w:color w:val="000000"/>
          <w:spacing w:val="-6"/>
          <w:kern w:val="0"/>
          <w:szCs w:val="32"/>
          <w:highlight w:val="none"/>
        </w:rPr>
        <w:t>养老服务发展资金368.58万元</w:t>
      </w:r>
      <w:r>
        <w:rPr>
          <w:rFonts w:hint="eastAsia" w:ascii="仿宋_GB2312" w:hAnsi="宋体" w:cs="宋体"/>
          <w:bCs/>
          <w:color w:val="000000"/>
          <w:spacing w:val="-6"/>
          <w:kern w:val="0"/>
          <w:szCs w:val="32"/>
          <w:highlight w:val="none"/>
          <w:lang w:eastAsia="zh-CN"/>
        </w:rPr>
        <w:t>、</w:t>
      </w:r>
      <w:r>
        <w:rPr>
          <w:rFonts w:hint="eastAsia" w:ascii="仿宋_GB2312" w:hAnsi="宋体" w:cs="宋体"/>
          <w:bCs/>
          <w:color w:val="000000"/>
          <w:spacing w:val="-6"/>
          <w:kern w:val="0"/>
          <w:szCs w:val="32"/>
          <w:highlight w:val="none"/>
        </w:rPr>
        <w:t>农村幸福院补助资金33.6万元</w:t>
      </w:r>
      <w:r>
        <w:rPr>
          <w:rFonts w:hint="eastAsia" w:ascii="仿宋_GB2312" w:hAnsi="宋体" w:cs="宋体"/>
          <w:bCs/>
          <w:color w:val="000000"/>
          <w:spacing w:val="-6"/>
          <w:kern w:val="0"/>
          <w:szCs w:val="32"/>
          <w:highlight w:val="none"/>
          <w:lang w:eastAsia="zh-CN"/>
        </w:rPr>
        <w:t>拨付不及时</w:t>
      </w:r>
      <w:r>
        <w:rPr>
          <w:rFonts w:hint="eastAsia" w:ascii="仿宋_GB2312" w:hAnsi="宋体" w:cs="宋体"/>
          <w:bCs/>
          <w:color w:val="000000"/>
          <w:spacing w:val="-6"/>
          <w:kern w:val="0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/>
        <w:autoSpaceDN/>
        <w:bidi w:val="0"/>
        <w:adjustRightInd w:val="0"/>
        <w:spacing w:line="560" w:lineRule="exact"/>
        <w:ind w:firstLine="640" w:firstLineChars="200"/>
        <w:textAlignment w:val="auto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工业和信息化领域高质量发展审计情况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区级奖补政策不能有效发挥激励作用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部分高质量发展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奖补政策自出台以来没有兑现，同一企业重复受奖励现象突出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未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落实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对专项资金支持项目的全过程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监管责任。未对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工信领域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专项资金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使用情况进行动态管理和跟踪问效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内控制度不健全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未针对工信领域专项资金研究制定专项资金管理办法、专项资金实施细则、绩效管理办法等。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pacing w:line="560" w:lineRule="exact"/>
        <w:ind w:firstLine="640" w:firstLineChars="200"/>
        <w:textAlignment w:val="auto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（五）卫生健康补助资金管理使用绩效审计情况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16" w:firstLineChars="200"/>
        <w:textAlignment w:val="auto"/>
        <w:rPr>
          <w:rFonts w:hint="eastAsia" w:ascii="仿宋_GB2312" w:hAnsi="仿宋_GB2312" w:cs="仿宋_GB2312"/>
          <w:szCs w:val="32"/>
          <w:highlight w:val="yellow"/>
          <w:lang w:eastAsia="zh-CN"/>
        </w:rPr>
      </w:pPr>
      <w:r>
        <w:rPr>
          <w:rFonts w:hint="eastAsia" w:ascii="仿宋_GB2312" w:hAnsi="仿宋_GB2312" w:cs="仿宋_GB2312"/>
          <w:spacing w:val="-6"/>
          <w:szCs w:val="32"/>
          <w:lang w:val="en-US" w:eastAsia="zh-CN"/>
        </w:rPr>
        <w:t>1.</w:t>
      </w:r>
      <w:r>
        <w:rPr>
          <w:rFonts w:hint="eastAsia" w:ascii="仿宋_GB2312" w:hAnsi="仿宋_GB2312" w:cs="仿宋_GB2312"/>
          <w:spacing w:val="-6"/>
          <w:szCs w:val="32"/>
        </w:rPr>
        <w:t>基本公共卫生服务能力提升方面</w:t>
      </w:r>
      <w:r>
        <w:rPr>
          <w:rFonts w:hint="eastAsia" w:ascii="仿宋_GB2312" w:hAnsi="仿宋_GB2312" w:cs="仿宋_GB2312"/>
          <w:spacing w:val="-6"/>
          <w:szCs w:val="32"/>
          <w:lang w:eastAsia="zh-CN"/>
        </w:rPr>
        <w:t>。</w:t>
      </w:r>
      <w:r>
        <w:rPr>
          <w:rFonts w:hint="eastAsia" w:ascii="仿宋_GB2312" w:hAnsi="仿宋_GB2312" w:cs="仿宋_GB2312"/>
          <w:spacing w:val="-6"/>
          <w:szCs w:val="32"/>
        </w:rPr>
        <w:t>欠付</w:t>
      </w:r>
      <w:r>
        <w:rPr>
          <w:rFonts w:hint="eastAsia" w:ascii="仿宋_GB2312" w:hAnsi="仿宋_GB2312" w:cs="仿宋_GB2312"/>
          <w:szCs w:val="32"/>
        </w:rPr>
        <w:t>家庭医生签约服务补助11.7万元</w:t>
      </w:r>
      <w:r>
        <w:rPr>
          <w:rFonts w:hint="eastAsia" w:ascii="仿宋_GB2312" w:hAnsi="仿宋_GB2312" w:cs="仿宋_GB2312"/>
          <w:szCs w:val="32"/>
          <w:lang w:eastAsia="zh-CN"/>
        </w:rPr>
        <w:t>；</w:t>
      </w:r>
      <w:r>
        <w:rPr>
          <w:rFonts w:hint="eastAsia" w:ascii="仿宋_GB2312" w:hAnsi="仿宋_GB2312" w:cs="仿宋_GB2312"/>
          <w:szCs w:val="32"/>
          <w:highlight w:val="none"/>
        </w:rPr>
        <w:t>居民电子健康档案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应用不足，开放率为63.05%，未达100%的要求，查询率仅为1.15%；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儿童中医药健康管理率等多项服务指标均未达到绩效评价标准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2.</w:t>
      </w:r>
      <w:r>
        <w:rPr>
          <w:rFonts w:hint="eastAsia" w:ascii="仿宋_GB2312" w:hAnsi="仿宋_GB2312" w:cs="仿宋_GB2312"/>
          <w:szCs w:val="32"/>
        </w:rPr>
        <w:t>基层医疗卫生服务能力提升方面</w:t>
      </w:r>
      <w:r>
        <w:rPr>
          <w:rFonts w:hint="eastAsia" w:ascii="仿宋_GB2312" w:hAnsi="仿宋_GB2312" w:cs="仿宋_GB2312"/>
          <w:szCs w:val="32"/>
          <w:lang w:eastAsia="zh-CN"/>
        </w:rPr>
        <w:t>。</w:t>
      </w:r>
      <w:r>
        <w:rPr>
          <w:rFonts w:hint="eastAsia" w:ascii="仿宋_GB2312" w:hAnsi="仿宋_GB2312" w:cs="仿宋_GB2312"/>
          <w:szCs w:val="32"/>
        </w:rPr>
        <w:t>应拨未拨上级卫生健康补助资金10万元</w:t>
      </w:r>
      <w:r>
        <w:rPr>
          <w:rFonts w:hint="eastAsia" w:ascii="仿宋_GB2312" w:hAnsi="仿宋_GB2312" w:cs="仿宋_GB231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5家基层医疗卫生机构医疗收入占比不足60%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szCs w:val="32"/>
          <w:highlight w:val="none"/>
        </w:rPr>
        <w:t>运营能力不足</w:t>
      </w:r>
      <w:r>
        <w:rPr>
          <w:rFonts w:hint="eastAsia" w:ascii="仿宋_GB2312" w:hAnsi="仿宋_GB2312" w:cs="仿宋_GB2312"/>
          <w:szCs w:val="32"/>
          <w:lang w:eastAsia="zh-CN"/>
        </w:rPr>
        <w:t>；</w:t>
      </w:r>
      <w:r>
        <w:rPr>
          <w:rFonts w:hint="eastAsia" w:ascii="仿宋_GB2312" w:hAnsi="仿宋_GB2312" w:cs="仿宋_GB2312"/>
          <w:szCs w:val="32"/>
          <w:lang w:val="en-US" w:eastAsia="zh-CN"/>
        </w:rPr>
        <w:t>违规</w:t>
      </w:r>
      <w:r>
        <w:rPr>
          <w:rFonts w:hint="eastAsia" w:ascii="仿宋_GB2312" w:hAnsi="仿宋_GB2312" w:cs="仿宋_GB2312"/>
          <w:szCs w:val="32"/>
        </w:rPr>
        <w:t>向已死亡乡村医生发放生活补贴</w:t>
      </w:r>
      <w:r>
        <w:rPr>
          <w:rFonts w:hint="eastAsia" w:ascii="仿宋_GB2312" w:hAnsi="仿宋_GB2312" w:cs="仿宋_GB231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cs="仿宋_GB2312"/>
          <w:szCs w:val="32"/>
          <w:lang w:val="en-US" w:eastAsia="zh-CN"/>
        </w:rPr>
        <w:t>3.</w:t>
      </w:r>
      <w:r>
        <w:rPr>
          <w:rFonts w:hint="eastAsia" w:ascii="仿宋_GB2312" w:hAnsi="仿宋_GB2312" w:cs="仿宋_GB2312"/>
          <w:szCs w:val="32"/>
        </w:rPr>
        <w:t>优化生育政策方面</w:t>
      </w:r>
      <w:r>
        <w:rPr>
          <w:rFonts w:hint="eastAsia" w:ascii="仿宋_GB2312" w:hAnsi="仿宋_GB2312" w:cs="仿宋_GB2312"/>
          <w:szCs w:val="32"/>
          <w:lang w:eastAsia="zh-CN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未按政策要求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启动相关托育机构申请和认定、托育服务工作制度制定等工作，相应补助资金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落实到位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pacing w:line="560" w:lineRule="exact"/>
        <w:ind w:left="640" w:leftChars="200"/>
        <w:textAlignment w:val="auto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（六）国有资产管理审计情况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1.行政事业性国有资产审计</w:t>
      </w:r>
      <w:r>
        <w:rPr>
          <w:rFonts w:hint="eastAsia" w:ascii="仿宋_GB2312" w:hAnsi="仿宋_GB2312" w:eastAsia="仿宋_GB2312" w:cs="仿宋_GB2312"/>
          <w:lang w:val="en-US" w:eastAsia="zh-CN"/>
        </w:rPr>
        <w:t>方面</w:t>
      </w:r>
      <w:r>
        <w:rPr>
          <w:rFonts w:hint="eastAsia" w:ascii="仿宋_GB2312" w:hAnsi="仿宋_GB2312" w:cs="仿宋_GB231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</w:rPr>
        <w:t>一是部分资产管理不到位、使用效益低。个别单位房屋建筑物未及时办理权属登记；2个单位未对固定资产定期清查盘点</w:t>
      </w:r>
      <w:r>
        <w:rPr>
          <w:rFonts w:hint="eastAsia" w:ascii="仿宋_GB2312" w:hAnsi="仿宋_GB2312" w:eastAsia="仿宋_GB2312" w:cs="仿宋_GB2312"/>
          <w:lang w:eastAsia="zh-CN"/>
        </w:rPr>
        <w:t>；个别单位</w:t>
      </w:r>
      <w:r>
        <w:rPr>
          <w:rFonts w:hint="eastAsia" w:ascii="仿宋_GB2312" w:hAnsi="仿宋_GB2312" w:eastAsia="仿宋_GB2312" w:cs="仿宋_GB2312"/>
        </w:rPr>
        <w:t>部分项目存在重建设轻应用情况。二是部分资产处置不当。个别单位房产租金定价不规范，存在无依据减免租金情况，且未建立出租台账，出租底数不清；个别单位资产划转不及时，导致责权不清。三是部分资产核算不准确。2个单位资产账实不符、资产系统数据与财务系统数据不一致；5个单位少记固定资产合计58.49万元；个别单位固定资产未按规定计提折旧或未按规定区分性质入账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/>
          <w:color w:val="auto"/>
        </w:rPr>
      </w:pPr>
      <w:r>
        <w:rPr>
          <w:rFonts w:hint="eastAsia" w:ascii="仿宋_GB2312" w:hAnsi="仿宋_GB2312" w:eastAsia="仿宋_GB2312" w:cs="仿宋_GB2312"/>
        </w:rPr>
        <w:t>2.国有自然资源资产审计</w:t>
      </w:r>
      <w:r>
        <w:rPr>
          <w:rFonts w:hint="eastAsia" w:ascii="仿宋_GB2312" w:hAnsi="仿宋_GB2312" w:eastAsia="仿宋_GB2312" w:cs="仿宋_GB2312"/>
          <w:lang w:val="en-US" w:eastAsia="zh-CN"/>
        </w:rPr>
        <w:t>方面</w:t>
      </w:r>
      <w:r>
        <w:rPr>
          <w:rFonts w:hint="eastAsia" w:ascii="仿宋_GB2312" w:hAnsi="仿宋_GB2312" w:cs="仿宋_GB231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-6"/>
          <w:szCs w:val="32"/>
        </w:rPr>
        <w:t>一是河湖长制工作落实不到位。部分水库河流周边环境质量有待提高；河湖长人员变动未及时更新</w:t>
      </w:r>
      <w:r>
        <w:rPr>
          <w:rFonts w:hint="eastAsia" w:ascii="仿宋_GB2312" w:hAnsi="仿宋_GB2312" w:cs="仿宋_GB2312"/>
          <w:snapToGrid w:val="0"/>
          <w:color w:val="auto"/>
          <w:spacing w:val="-6"/>
          <w:szCs w:val="32"/>
          <w:lang w:val="en-US" w:eastAsia="zh-CN"/>
        </w:rPr>
        <w:t>信息系统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-6"/>
          <w:szCs w:val="32"/>
        </w:rPr>
        <w:t>；未按要求开展多渠道宣传。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是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专项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资金未充分发挥使用效益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个别单位花费102.65万元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清理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林下可燃物不彻底。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sz w:val="32"/>
        </w:rPr>
      </w:pPr>
      <w:r>
        <w:rPr>
          <w:rFonts w:hint="eastAsia" w:ascii="黑体" w:hAnsi="黑体" w:eastAsia="黑体" w:cs="Calibri"/>
          <w:color w:val="000000"/>
          <w:sz w:val="32"/>
          <w:szCs w:val="32"/>
        </w:rPr>
        <w:t>二、审计建议</w:t>
      </w:r>
    </w:p>
    <w:p>
      <w:pPr>
        <w:pStyle w:val="9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cs="仿宋_GB2312"/>
          <w:sz w:val="32"/>
          <w:szCs w:val="32"/>
        </w:rPr>
      </w:pPr>
      <w:r>
        <w:rPr>
          <w:rFonts w:hint="eastAsia" w:ascii="楷体_GB2312" w:eastAsia="楷体_GB2312"/>
          <w:bCs/>
          <w:sz w:val="32"/>
          <w:szCs w:val="32"/>
        </w:rPr>
        <w:t>（一）深化预算管理改革，提升财政收支质量。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落实零基预算改革要求，加强前期工作谋划，加快资金拨付和使用进度。加强收入统筹，清理盘活存量资金。增强预算刚性约束，从预算源头压减一般性和非急需、非刚性支出。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</w:pPr>
      <w:r>
        <w:rPr>
          <w:rFonts w:hint="eastAsia" w:ascii="楷体_GB2312" w:eastAsia="楷体_GB2312"/>
          <w:bCs/>
          <w:sz w:val="32"/>
          <w:szCs w:val="32"/>
        </w:rPr>
        <w:t>（二）完善资金管理机制，确保政策落地落实。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加快推进专项债项目前期准备，加大项目建设管理力度，强化</w:t>
      </w:r>
      <w:r>
        <w:rPr>
          <w:rFonts w:hint="eastAsia" w:ascii="仿宋_GB2312" w:hAnsi="仿宋_GB2312" w:cs="仿宋_GB2312"/>
          <w:kern w:val="2"/>
          <w:sz w:val="32"/>
          <w:szCs w:val="24"/>
          <w:lang w:val="en-US" w:eastAsia="zh-CN" w:bidi="ar-SA"/>
        </w:rPr>
        <w:t>资金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绩效管理。压实资金主管部门管理责任，严格审核项目申报资料，优化资金拨付流程，切实提高财政资金配置效率</w:t>
      </w:r>
      <w:r>
        <w:rPr>
          <w:rFonts w:hint="eastAsia" w:ascii="仿宋_GB2312" w:hAnsi="仿宋_GB2312" w:cs="仿宋_GB2312"/>
          <w:kern w:val="2"/>
          <w:sz w:val="32"/>
          <w:szCs w:val="24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强化督导检查，切实加强各类专项资金监管，确保国家重大政策落地落实。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eastAsia="楷体_GB2312"/>
          <w:bCs/>
          <w:sz w:val="32"/>
          <w:szCs w:val="32"/>
        </w:rPr>
        <w:t>（三）健全完善内部控制，规范国有资产管理。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建立健全各项内部控制机制，强化职责分工，加强制度执行力。切实履行好国有资产的主体管理职责，强化国有资产损失和监督工作责任追究，确保资产安全。</w:t>
      </w:r>
    </w:p>
    <w:sectPr>
      <w:footerReference r:id="rId3" w:type="default"/>
      <w:pgSz w:w="11906" w:h="16838"/>
      <w:pgMar w:top="2098" w:right="1531" w:bottom="1985" w:left="1531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7023F"/>
    <w:multiLevelType w:val="singleLevel"/>
    <w:tmpl w:val="32F7023F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E089BA6"/>
    <w:multiLevelType w:val="singleLevel"/>
    <w:tmpl w:val="6E089B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4D"/>
    <w:rsid w:val="0000036A"/>
    <w:rsid w:val="0001783B"/>
    <w:rsid w:val="00024635"/>
    <w:rsid w:val="000A2CEA"/>
    <w:rsid w:val="0010036B"/>
    <w:rsid w:val="001446E2"/>
    <w:rsid w:val="00172AC5"/>
    <w:rsid w:val="001E5C5F"/>
    <w:rsid w:val="0024463D"/>
    <w:rsid w:val="00263FC1"/>
    <w:rsid w:val="00285A1B"/>
    <w:rsid w:val="002C4A98"/>
    <w:rsid w:val="003170B4"/>
    <w:rsid w:val="0034125C"/>
    <w:rsid w:val="00342F10"/>
    <w:rsid w:val="003640B8"/>
    <w:rsid w:val="003858F3"/>
    <w:rsid w:val="00387065"/>
    <w:rsid w:val="003A257D"/>
    <w:rsid w:val="003A6AD2"/>
    <w:rsid w:val="003E4577"/>
    <w:rsid w:val="0040095D"/>
    <w:rsid w:val="00407E07"/>
    <w:rsid w:val="0043260E"/>
    <w:rsid w:val="00482FA0"/>
    <w:rsid w:val="004967B0"/>
    <w:rsid w:val="0050555D"/>
    <w:rsid w:val="005F1E1B"/>
    <w:rsid w:val="00637B95"/>
    <w:rsid w:val="006605B3"/>
    <w:rsid w:val="00694479"/>
    <w:rsid w:val="006B6CF6"/>
    <w:rsid w:val="006C3216"/>
    <w:rsid w:val="007326F8"/>
    <w:rsid w:val="007D7895"/>
    <w:rsid w:val="00807FB5"/>
    <w:rsid w:val="00894295"/>
    <w:rsid w:val="008B5111"/>
    <w:rsid w:val="008B53FE"/>
    <w:rsid w:val="009123A8"/>
    <w:rsid w:val="00A67BEA"/>
    <w:rsid w:val="00AF2F4D"/>
    <w:rsid w:val="00AF3812"/>
    <w:rsid w:val="00B16D3B"/>
    <w:rsid w:val="00B514F9"/>
    <w:rsid w:val="00BD4672"/>
    <w:rsid w:val="00C02B60"/>
    <w:rsid w:val="00C83466"/>
    <w:rsid w:val="00D107B0"/>
    <w:rsid w:val="00D65CF5"/>
    <w:rsid w:val="00DE14F5"/>
    <w:rsid w:val="00E51DFD"/>
    <w:rsid w:val="00EB6DA1"/>
    <w:rsid w:val="00F95DFB"/>
    <w:rsid w:val="01D94F0A"/>
    <w:rsid w:val="02321ECB"/>
    <w:rsid w:val="02934C9A"/>
    <w:rsid w:val="044A3C57"/>
    <w:rsid w:val="048C3605"/>
    <w:rsid w:val="054B4500"/>
    <w:rsid w:val="055F41FD"/>
    <w:rsid w:val="05767741"/>
    <w:rsid w:val="05925DAA"/>
    <w:rsid w:val="0596792C"/>
    <w:rsid w:val="05EE299A"/>
    <w:rsid w:val="063714FA"/>
    <w:rsid w:val="06421ACB"/>
    <w:rsid w:val="06596123"/>
    <w:rsid w:val="065E1320"/>
    <w:rsid w:val="06D2764C"/>
    <w:rsid w:val="07243D3B"/>
    <w:rsid w:val="072B6882"/>
    <w:rsid w:val="07764DF6"/>
    <w:rsid w:val="081A1C9D"/>
    <w:rsid w:val="083F3863"/>
    <w:rsid w:val="08D32E02"/>
    <w:rsid w:val="09105874"/>
    <w:rsid w:val="093B290E"/>
    <w:rsid w:val="0A4A3077"/>
    <w:rsid w:val="0B1B7AB3"/>
    <w:rsid w:val="0BE2407A"/>
    <w:rsid w:val="0C1A376C"/>
    <w:rsid w:val="0C1B59FD"/>
    <w:rsid w:val="0CB665DC"/>
    <w:rsid w:val="0CF744BB"/>
    <w:rsid w:val="0D6264FF"/>
    <w:rsid w:val="0D7D4133"/>
    <w:rsid w:val="0E5D4705"/>
    <w:rsid w:val="0E733655"/>
    <w:rsid w:val="0E7616CE"/>
    <w:rsid w:val="0F085F8F"/>
    <w:rsid w:val="0F672B67"/>
    <w:rsid w:val="0FEC71BE"/>
    <w:rsid w:val="1072769E"/>
    <w:rsid w:val="12263FF5"/>
    <w:rsid w:val="124F6166"/>
    <w:rsid w:val="13265FDA"/>
    <w:rsid w:val="136E22BE"/>
    <w:rsid w:val="1481719B"/>
    <w:rsid w:val="14D10688"/>
    <w:rsid w:val="17121564"/>
    <w:rsid w:val="18293EE0"/>
    <w:rsid w:val="186B23EB"/>
    <w:rsid w:val="1928396E"/>
    <w:rsid w:val="19731E23"/>
    <w:rsid w:val="19DE6C6C"/>
    <w:rsid w:val="1ACB3EC2"/>
    <w:rsid w:val="1AD56ADC"/>
    <w:rsid w:val="1AEF5FDB"/>
    <w:rsid w:val="1B1A2D21"/>
    <w:rsid w:val="1B8F40A8"/>
    <w:rsid w:val="1B980134"/>
    <w:rsid w:val="1BD51DF0"/>
    <w:rsid w:val="1C194249"/>
    <w:rsid w:val="1C734C28"/>
    <w:rsid w:val="1CC06187"/>
    <w:rsid w:val="1D000D55"/>
    <w:rsid w:val="1D5C17FF"/>
    <w:rsid w:val="1D74674B"/>
    <w:rsid w:val="1E23787B"/>
    <w:rsid w:val="1E7C0286"/>
    <w:rsid w:val="1F7D62EA"/>
    <w:rsid w:val="1FC40891"/>
    <w:rsid w:val="1FF1129D"/>
    <w:rsid w:val="20595DB1"/>
    <w:rsid w:val="207D78C1"/>
    <w:rsid w:val="21B43E17"/>
    <w:rsid w:val="220D02DC"/>
    <w:rsid w:val="22DD3440"/>
    <w:rsid w:val="23B83BFD"/>
    <w:rsid w:val="244B078E"/>
    <w:rsid w:val="24584399"/>
    <w:rsid w:val="248053AC"/>
    <w:rsid w:val="252A2B08"/>
    <w:rsid w:val="252B6DA2"/>
    <w:rsid w:val="261925E5"/>
    <w:rsid w:val="265700F2"/>
    <w:rsid w:val="26822367"/>
    <w:rsid w:val="26915A31"/>
    <w:rsid w:val="26E91B8C"/>
    <w:rsid w:val="270C2FCF"/>
    <w:rsid w:val="27466D84"/>
    <w:rsid w:val="27635D03"/>
    <w:rsid w:val="27706983"/>
    <w:rsid w:val="27B60951"/>
    <w:rsid w:val="28B128E3"/>
    <w:rsid w:val="28C12B5E"/>
    <w:rsid w:val="28FC4F37"/>
    <w:rsid w:val="29212D48"/>
    <w:rsid w:val="29F83E9E"/>
    <w:rsid w:val="2A45376E"/>
    <w:rsid w:val="2A50069F"/>
    <w:rsid w:val="2AA002FD"/>
    <w:rsid w:val="2B244D88"/>
    <w:rsid w:val="2B9B7356"/>
    <w:rsid w:val="2BA95551"/>
    <w:rsid w:val="2BF8252E"/>
    <w:rsid w:val="2DC065FF"/>
    <w:rsid w:val="2DC375EA"/>
    <w:rsid w:val="2DDC6834"/>
    <w:rsid w:val="2DDC69B5"/>
    <w:rsid w:val="2E657051"/>
    <w:rsid w:val="2F0A693B"/>
    <w:rsid w:val="2F3E621B"/>
    <w:rsid w:val="2F675BDA"/>
    <w:rsid w:val="2FF01943"/>
    <w:rsid w:val="30220D2F"/>
    <w:rsid w:val="30A71C22"/>
    <w:rsid w:val="30C9482E"/>
    <w:rsid w:val="314002AB"/>
    <w:rsid w:val="318812EE"/>
    <w:rsid w:val="32A63AEC"/>
    <w:rsid w:val="331B214D"/>
    <w:rsid w:val="33CC0881"/>
    <w:rsid w:val="349A09A3"/>
    <w:rsid w:val="34E47F59"/>
    <w:rsid w:val="351F6990"/>
    <w:rsid w:val="35575166"/>
    <w:rsid w:val="356144A8"/>
    <w:rsid w:val="35D30FDE"/>
    <w:rsid w:val="36B64833"/>
    <w:rsid w:val="370248C2"/>
    <w:rsid w:val="372C3BFD"/>
    <w:rsid w:val="3764056D"/>
    <w:rsid w:val="37C466FA"/>
    <w:rsid w:val="3821542B"/>
    <w:rsid w:val="38460FE2"/>
    <w:rsid w:val="38842936"/>
    <w:rsid w:val="38E17BA7"/>
    <w:rsid w:val="395F6B34"/>
    <w:rsid w:val="3A1C05B6"/>
    <w:rsid w:val="3A7958F5"/>
    <w:rsid w:val="3B8504F2"/>
    <w:rsid w:val="3BE53866"/>
    <w:rsid w:val="3C9D18B3"/>
    <w:rsid w:val="3D394C77"/>
    <w:rsid w:val="3D552CF6"/>
    <w:rsid w:val="3D5762B0"/>
    <w:rsid w:val="3DE51D52"/>
    <w:rsid w:val="3E1C0734"/>
    <w:rsid w:val="3E755984"/>
    <w:rsid w:val="3F591175"/>
    <w:rsid w:val="402C7BD0"/>
    <w:rsid w:val="404D2591"/>
    <w:rsid w:val="40DC36B8"/>
    <w:rsid w:val="423553BA"/>
    <w:rsid w:val="42403571"/>
    <w:rsid w:val="42687272"/>
    <w:rsid w:val="42BA62E6"/>
    <w:rsid w:val="42E447E3"/>
    <w:rsid w:val="42F548E1"/>
    <w:rsid w:val="43471398"/>
    <w:rsid w:val="43BD3385"/>
    <w:rsid w:val="44965A7D"/>
    <w:rsid w:val="45277E1F"/>
    <w:rsid w:val="455D60E7"/>
    <w:rsid w:val="456700CC"/>
    <w:rsid w:val="4621073E"/>
    <w:rsid w:val="46C029DA"/>
    <w:rsid w:val="47661313"/>
    <w:rsid w:val="483F4D39"/>
    <w:rsid w:val="48465045"/>
    <w:rsid w:val="487F05F2"/>
    <w:rsid w:val="488F3669"/>
    <w:rsid w:val="492C13D0"/>
    <w:rsid w:val="495A1BCA"/>
    <w:rsid w:val="4AE8144F"/>
    <w:rsid w:val="4B3F5CC5"/>
    <w:rsid w:val="4B5207EC"/>
    <w:rsid w:val="4C283E4D"/>
    <w:rsid w:val="4C2E7900"/>
    <w:rsid w:val="4C7C1127"/>
    <w:rsid w:val="4D9E745A"/>
    <w:rsid w:val="4E5B179F"/>
    <w:rsid w:val="4E5E1A3D"/>
    <w:rsid w:val="4FBA7ECF"/>
    <w:rsid w:val="4FF176AA"/>
    <w:rsid w:val="508B402B"/>
    <w:rsid w:val="509916CD"/>
    <w:rsid w:val="5102529E"/>
    <w:rsid w:val="510A43EC"/>
    <w:rsid w:val="514F58FC"/>
    <w:rsid w:val="51CD40F8"/>
    <w:rsid w:val="528E582A"/>
    <w:rsid w:val="52A76B48"/>
    <w:rsid w:val="52F821E7"/>
    <w:rsid w:val="52F93154"/>
    <w:rsid w:val="53726AA8"/>
    <w:rsid w:val="537751ED"/>
    <w:rsid w:val="53831510"/>
    <w:rsid w:val="54852C16"/>
    <w:rsid w:val="54EE35AD"/>
    <w:rsid w:val="551A2EE6"/>
    <w:rsid w:val="566E3400"/>
    <w:rsid w:val="56847CD9"/>
    <w:rsid w:val="57776F92"/>
    <w:rsid w:val="58DF57F7"/>
    <w:rsid w:val="58E12236"/>
    <w:rsid w:val="591D7A58"/>
    <w:rsid w:val="59FE046C"/>
    <w:rsid w:val="5AA37596"/>
    <w:rsid w:val="5B603B5F"/>
    <w:rsid w:val="5BEE4D1B"/>
    <w:rsid w:val="5C011D88"/>
    <w:rsid w:val="5C121741"/>
    <w:rsid w:val="5C27484F"/>
    <w:rsid w:val="5C2D0855"/>
    <w:rsid w:val="5C75767D"/>
    <w:rsid w:val="5D1217D3"/>
    <w:rsid w:val="5D196E9C"/>
    <w:rsid w:val="5D49395E"/>
    <w:rsid w:val="5E6C2A95"/>
    <w:rsid w:val="5E9A413C"/>
    <w:rsid w:val="5ED20476"/>
    <w:rsid w:val="5FA74B31"/>
    <w:rsid w:val="60097FC5"/>
    <w:rsid w:val="607F0E84"/>
    <w:rsid w:val="612A2CBD"/>
    <w:rsid w:val="614C76CC"/>
    <w:rsid w:val="62351287"/>
    <w:rsid w:val="62405EF6"/>
    <w:rsid w:val="63182FBB"/>
    <w:rsid w:val="63975B4D"/>
    <w:rsid w:val="63BA45EF"/>
    <w:rsid w:val="64225FA3"/>
    <w:rsid w:val="64E22A1D"/>
    <w:rsid w:val="65AF294F"/>
    <w:rsid w:val="66073537"/>
    <w:rsid w:val="669169F5"/>
    <w:rsid w:val="6751013E"/>
    <w:rsid w:val="67BE30FB"/>
    <w:rsid w:val="67EB24D3"/>
    <w:rsid w:val="68093ADB"/>
    <w:rsid w:val="684A0EBD"/>
    <w:rsid w:val="68C6581A"/>
    <w:rsid w:val="6A591516"/>
    <w:rsid w:val="6A730185"/>
    <w:rsid w:val="6B075F43"/>
    <w:rsid w:val="6B091C2C"/>
    <w:rsid w:val="6B1F6578"/>
    <w:rsid w:val="6B6918D3"/>
    <w:rsid w:val="6B9F0142"/>
    <w:rsid w:val="6BC67767"/>
    <w:rsid w:val="6C4B5C85"/>
    <w:rsid w:val="6CC219A1"/>
    <w:rsid w:val="6E150241"/>
    <w:rsid w:val="6E1B776F"/>
    <w:rsid w:val="6F270137"/>
    <w:rsid w:val="700D2F45"/>
    <w:rsid w:val="702A69FA"/>
    <w:rsid w:val="702C41B2"/>
    <w:rsid w:val="71344BCB"/>
    <w:rsid w:val="72543853"/>
    <w:rsid w:val="732B4A73"/>
    <w:rsid w:val="73682A1D"/>
    <w:rsid w:val="73C12DA5"/>
    <w:rsid w:val="73F028AC"/>
    <w:rsid w:val="745A5EFB"/>
    <w:rsid w:val="74DA4333"/>
    <w:rsid w:val="75272E73"/>
    <w:rsid w:val="757A5961"/>
    <w:rsid w:val="76041CBC"/>
    <w:rsid w:val="7665450F"/>
    <w:rsid w:val="76716D78"/>
    <w:rsid w:val="767B70C8"/>
    <w:rsid w:val="768D7628"/>
    <w:rsid w:val="776267A4"/>
    <w:rsid w:val="779975EF"/>
    <w:rsid w:val="77CA52ED"/>
    <w:rsid w:val="77ED54E0"/>
    <w:rsid w:val="78B0141D"/>
    <w:rsid w:val="796A2747"/>
    <w:rsid w:val="79AB4912"/>
    <w:rsid w:val="7B3D5FA3"/>
    <w:rsid w:val="7B7904F5"/>
    <w:rsid w:val="7BC96677"/>
    <w:rsid w:val="7BDA1FE6"/>
    <w:rsid w:val="7C0A5188"/>
    <w:rsid w:val="7C8B1DCF"/>
    <w:rsid w:val="7D54233F"/>
    <w:rsid w:val="7DC753C4"/>
    <w:rsid w:val="7DE83AC2"/>
    <w:rsid w:val="7E2413EF"/>
    <w:rsid w:val="7E6005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pPr>
      <w:widowControl w:val="0"/>
      <w:jc w:val="center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next w:val="5"/>
    <w:qFormat/>
    <w:uiPriority w:val="0"/>
    <w:pPr>
      <w:ind w:firstLine="533" w:firstLineChars="166"/>
    </w:pPr>
    <w:rPr>
      <w:rFonts w:ascii="仿宋_GB2312" w:hAnsi="宋体"/>
      <w:b/>
      <w:bCs/>
    </w:rPr>
  </w:style>
  <w:style w:type="paragraph" w:styleId="5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next w:val="5"/>
    <w:link w:val="1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3">
    <w:name w:val="脚注文本 字符"/>
    <w:basedOn w:val="10"/>
    <w:link w:val="8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4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2438</Words>
  <Characters>2566</Characters>
  <Lines>21</Lines>
  <Paragraphs>6</Paragraphs>
  <TotalTime>12</TotalTime>
  <ScaleCrop>false</ScaleCrop>
  <LinksUpToDate>false</LinksUpToDate>
  <CharactersWithSpaces>2588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2025-07-31T12:55:00Z</dcterms:created>
  <dc:creator>fuxiao</dc:creator>
  <cp:lastModifiedBy>Administrator</cp:lastModifiedBy>
  <cp:lastPrinted>2025-08-01T09:46:00Z</cp:lastPrinted>
  <dcterms:modified xsi:type="dcterms:W3CDTF">2025-08-20T02:00:03Z</dcterms:modified>
  <dc:title>烟台市莱山区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6BE1F199DB684768B45450BEFC3130BB</vt:lpwstr>
  </property>
  <property fmtid="{D5CDD505-2E9C-101B-9397-08002B2CF9AE}" pid="4" name="KSOTemplateDocerSaveRecord">
    <vt:lpwstr>eyJoZGlkIjoiYTdhMzYwNGRiYjVhZTc0MDNjOGIzZmYwZmUzNDA1ZWUiLCJ1c2VySWQiOiI2OTEwOTQzNjEifQ==</vt:lpwstr>
  </property>
</Properties>
</file>