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07559">
      <w:pPr>
        <w:ind w:firstLine="442" w:firstLineChars="100"/>
        <w:rPr>
          <w:rFonts w:hint="default" w:ascii="Times New Roman" w:hAnsi="Times New Roman" w:cs="Times New Roman"/>
          <w:b/>
          <w:bCs/>
          <w:sz w:val="44"/>
          <w:szCs w:val="44"/>
        </w:rPr>
      </w:pPr>
    </w:p>
    <w:p w14:paraId="3180BB4D">
      <w:pPr>
        <w:ind w:firstLine="442" w:firstLineChars="100"/>
        <w:rPr>
          <w:rFonts w:hint="default" w:ascii="Times New Roman" w:hAnsi="Times New Roman" w:cs="Times New Roman"/>
          <w:b/>
          <w:bCs/>
          <w:sz w:val="44"/>
          <w:szCs w:val="44"/>
        </w:rPr>
      </w:pPr>
    </w:p>
    <w:p w14:paraId="0CB15BE0">
      <w:pPr>
        <w:ind w:firstLine="442" w:firstLineChars="100"/>
        <w:rPr>
          <w:rFonts w:hint="default" w:ascii="Times New Roman" w:hAnsi="Times New Roman" w:cs="Times New Roman"/>
          <w:b/>
          <w:bCs/>
          <w:sz w:val="44"/>
          <w:szCs w:val="44"/>
        </w:rPr>
      </w:pPr>
    </w:p>
    <w:p w14:paraId="003D6EEC">
      <w:pPr>
        <w:ind w:firstLine="442" w:firstLineChars="100"/>
        <w:rPr>
          <w:rFonts w:hint="default" w:ascii="Times New Roman" w:hAnsi="Times New Roman" w:cs="Times New Roman"/>
          <w:b/>
          <w:bCs/>
          <w:sz w:val="44"/>
          <w:szCs w:val="44"/>
        </w:rPr>
      </w:pPr>
    </w:p>
    <w:p w14:paraId="7421698A">
      <w:pPr>
        <w:spacing w:line="360" w:lineRule="auto"/>
        <w:ind w:firstLine="482" w:firstLineChars="100"/>
        <w:jc w:val="center"/>
        <w:rPr>
          <w:rFonts w:hint="default" w:ascii="Times New Roman" w:hAnsi="Times New Roman" w:eastAsia="黑体" w:cs="Times New Roman"/>
          <w:b/>
          <w:bCs/>
          <w:sz w:val="48"/>
          <w:szCs w:val="48"/>
        </w:rPr>
      </w:pPr>
      <w:r>
        <w:rPr>
          <w:rFonts w:hint="default" w:ascii="Times New Roman" w:hAnsi="Times New Roman" w:eastAsia="黑体" w:cs="Times New Roman"/>
          <w:b/>
          <w:bCs/>
          <w:sz w:val="48"/>
          <w:szCs w:val="48"/>
        </w:rPr>
        <w:t>《烟台市莱山区</w:t>
      </w:r>
      <w:r>
        <w:rPr>
          <w:rFonts w:hint="default" w:ascii="Times New Roman" w:hAnsi="Times New Roman" w:eastAsia="黑体" w:cs="Times New Roman"/>
          <w:b/>
          <w:bCs/>
          <w:sz w:val="48"/>
          <w:szCs w:val="48"/>
          <w:lang w:val="en-US" w:eastAsia="zh-CN"/>
        </w:rPr>
        <w:t>现代水网建设</w:t>
      </w:r>
      <w:r>
        <w:rPr>
          <w:rFonts w:hint="default" w:ascii="Times New Roman" w:hAnsi="Times New Roman" w:eastAsia="黑体" w:cs="Times New Roman"/>
          <w:b/>
          <w:bCs/>
          <w:sz w:val="48"/>
          <w:szCs w:val="48"/>
        </w:rPr>
        <w:t>规划》</w:t>
      </w:r>
    </w:p>
    <w:p w14:paraId="2346B6A7">
      <w:pPr>
        <w:spacing w:line="360" w:lineRule="auto"/>
        <w:ind w:firstLine="482" w:firstLineChars="100"/>
        <w:jc w:val="center"/>
        <w:rPr>
          <w:rFonts w:hint="default" w:ascii="Times New Roman" w:hAnsi="Times New Roman" w:eastAsia="黑体" w:cs="Times New Roman"/>
          <w:b/>
          <w:bCs/>
          <w:sz w:val="48"/>
          <w:szCs w:val="48"/>
        </w:rPr>
      </w:pPr>
    </w:p>
    <w:p w14:paraId="29D1CB04">
      <w:pPr>
        <w:spacing w:line="360" w:lineRule="auto"/>
        <w:ind w:firstLine="482" w:firstLineChars="100"/>
        <w:jc w:val="center"/>
        <w:rPr>
          <w:rFonts w:hint="default" w:ascii="Times New Roman" w:hAnsi="Times New Roman" w:eastAsia="黑体" w:cs="Times New Roman"/>
          <w:b/>
          <w:bCs/>
          <w:sz w:val="48"/>
          <w:szCs w:val="48"/>
        </w:rPr>
      </w:pPr>
      <w:r>
        <w:rPr>
          <w:rFonts w:hint="default" w:ascii="Times New Roman" w:hAnsi="Times New Roman" w:eastAsia="黑体" w:cs="Times New Roman"/>
          <w:b/>
          <w:bCs/>
          <w:sz w:val="48"/>
          <w:szCs w:val="48"/>
        </w:rPr>
        <w:t>风险评估报告</w:t>
      </w:r>
    </w:p>
    <w:p w14:paraId="57C78D15">
      <w:pPr>
        <w:ind w:firstLine="442" w:firstLineChars="100"/>
        <w:jc w:val="center"/>
        <w:rPr>
          <w:rFonts w:hint="default" w:ascii="Times New Roman" w:hAnsi="Times New Roman" w:cs="Times New Roman"/>
          <w:b/>
          <w:bCs/>
          <w:sz w:val="44"/>
          <w:szCs w:val="44"/>
        </w:rPr>
      </w:pPr>
    </w:p>
    <w:p w14:paraId="2BB9F367">
      <w:pPr>
        <w:ind w:firstLine="442" w:firstLineChars="100"/>
        <w:jc w:val="center"/>
        <w:rPr>
          <w:rFonts w:hint="default" w:ascii="Times New Roman" w:hAnsi="Times New Roman" w:cs="Times New Roman"/>
          <w:b/>
          <w:bCs/>
          <w:sz w:val="44"/>
          <w:szCs w:val="44"/>
        </w:rPr>
      </w:pPr>
    </w:p>
    <w:p w14:paraId="6A5976C9">
      <w:pPr>
        <w:ind w:firstLine="442" w:firstLineChars="100"/>
        <w:jc w:val="center"/>
        <w:rPr>
          <w:rFonts w:hint="default" w:ascii="Times New Roman" w:hAnsi="Times New Roman" w:cs="Times New Roman"/>
          <w:b/>
          <w:bCs/>
          <w:sz w:val="44"/>
          <w:szCs w:val="44"/>
        </w:rPr>
      </w:pPr>
    </w:p>
    <w:p w14:paraId="2E9D0400">
      <w:pPr>
        <w:ind w:firstLine="442" w:firstLineChars="100"/>
        <w:jc w:val="center"/>
        <w:rPr>
          <w:rFonts w:hint="default" w:ascii="Times New Roman" w:hAnsi="Times New Roman" w:cs="Times New Roman"/>
          <w:b/>
          <w:bCs/>
          <w:sz w:val="44"/>
          <w:szCs w:val="44"/>
        </w:rPr>
      </w:pPr>
    </w:p>
    <w:p w14:paraId="14977AED">
      <w:pPr>
        <w:ind w:firstLine="442" w:firstLineChars="100"/>
        <w:jc w:val="center"/>
        <w:rPr>
          <w:rFonts w:hint="default" w:ascii="Times New Roman" w:hAnsi="Times New Roman" w:cs="Times New Roman"/>
          <w:b/>
          <w:bCs/>
          <w:sz w:val="44"/>
          <w:szCs w:val="44"/>
        </w:rPr>
      </w:pPr>
    </w:p>
    <w:p w14:paraId="3737044A">
      <w:pPr>
        <w:ind w:firstLine="442" w:firstLineChars="100"/>
        <w:jc w:val="center"/>
        <w:rPr>
          <w:rFonts w:hint="default" w:ascii="Times New Roman" w:hAnsi="Times New Roman" w:cs="Times New Roman"/>
          <w:b/>
          <w:bCs/>
          <w:sz w:val="44"/>
          <w:szCs w:val="44"/>
        </w:rPr>
      </w:pPr>
    </w:p>
    <w:p w14:paraId="1A93215E">
      <w:pPr>
        <w:ind w:firstLine="442" w:firstLineChars="100"/>
        <w:jc w:val="center"/>
        <w:rPr>
          <w:rFonts w:hint="default" w:ascii="Times New Roman" w:hAnsi="Times New Roman" w:cs="Times New Roman"/>
          <w:b/>
          <w:bCs/>
          <w:sz w:val="44"/>
          <w:szCs w:val="44"/>
        </w:rPr>
      </w:pPr>
    </w:p>
    <w:p w14:paraId="29A49A77">
      <w:pPr>
        <w:ind w:firstLine="442" w:firstLineChars="100"/>
        <w:jc w:val="center"/>
        <w:rPr>
          <w:rFonts w:hint="default" w:ascii="Times New Roman" w:hAnsi="Times New Roman" w:cs="Times New Roman"/>
          <w:b/>
          <w:bCs/>
          <w:sz w:val="44"/>
          <w:szCs w:val="44"/>
        </w:rPr>
      </w:pPr>
    </w:p>
    <w:p w14:paraId="24E484DC">
      <w:pPr>
        <w:ind w:firstLine="442" w:firstLineChars="100"/>
        <w:jc w:val="center"/>
        <w:rPr>
          <w:rFonts w:hint="default" w:ascii="Times New Roman" w:hAnsi="Times New Roman" w:cs="Times New Roman"/>
          <w:b/>
          <w:bCs/>
          <w:sz w:val="44"/>
          <w:szCs w:val="44"/>
        </w:rPr>
      </w:pPr>
    </w:p>
    <w:p w14:paraId="7B23CC47">
      <w:pPr>
        <w:ind w:firstLine="442" w:firstLineChars="100"/>
        <w:jc w:val="center"/>
        <w:rPr>
          <w:rFonts w:hint="default" w:ascii="Times New Roman" w:hAnsi="Times New Roman" w:eastAsia="黑体" w:cs="Times New Roman"/>
          <w:b/>
          <w:bCs/>
          <w:sz w:val="44"/>
          <w:szCs w:val="44"/>
        </w:rPr>
      </w:pPr>
    </w:p>
    <w:p w14:paraId="09B469B0">
      <w:pPr>
        <w:ind w:firstLine="442" w:firstLineChars="100"/>
        <w:jc w:val="center"/>
        <w:rPr>
          <w:rFonts w:hint="default" w:ascii="Times New Roman" w:hAnsi="Times New Roman" w:eastAsia="黑体" w:cs="Times New Roman"/>
          <w:b/>
          <w:bCs/>
          <w:sz w:val="44"/>
          <w:szCs w:val="44"/>
        </w:rPr>
      </w:pPr>
    </w:p>
    <w:p w14:paraId="485461F5">
      <w:pPr>
        <w:ind w:firstLine="321" w:firstLineChars="100"/>
        <w:jc w:val="center"/>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lang w:val="en-US" w:eastAsia="zh-CN"/>
        </w:rPr>
        <w:t>烟台市莱山区农业农村局</w:t>
      </w:r>
    </w:p>
    <w:p w14:paraId="721F49C8">
      <w:pPr>
        <w:ind w:firstLine="321" w:firstLineChars="100"/>
        <w:jc w:val="center"/>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二零二五年十一月</w:t>
      </w:r>
    </w:p>
    <w:p w14:paraId="13E8F754">
      <w:pPr>
        <w:rPr>
          <w:rFonts w:hint="default" w:ascii="Times New Roman" w:hAnsi="Times New Roman" w:cs="Times New Roman"/>
        </w:rPr>
      </w:pPr>
    </w:p>
    <w:p w14:paraId="7F875FBB">
      <w:pPr>
        <w:rPr>
          <w:rFonts w:hint="default" w:ascii="Times New Roman" w:hAnsi="Times New Roman" w:cs="Times New Roman"/>
        </w:rPr>
      </w:pPr>
    </w:p>
    <w:p w14:paraId="52FE73CD">
      <w:pPr>
        <w:rPr>
          <w:rFonts w:hint="default" w:ascii="Times New Roman" w:hAnsi="Times New Roman" w:cs="Times New Roman"/>
        </w:rPr>
      </w:pPr>
    </w:p>
    <w:p w14:paraId="3CDF14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sectPr>
          <w:pgSz w:w="11906" w:h="16838"/>
          <w:pgMar w:top="1440" w:right="1800" w:bottom="1440" w:left="1800" w:header="851" w:footer="992" w:gutter="0"/>
          <w:pgNumType w:start="1"/>
          <w:cols w:space="425" w:num="1"/>
          <w:docGrid w:type="lines" w:linePitch="312" w:charSpace="0"/>
        </w:sectPr>
      </w:pPr>
    </w:p>
    <w:p w14:paraId="6E4EBF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山东省委、省政府对现代水网建设高度重视，《山东省国民经济和社会发展第十四个五年规划和2035年远景目标纲要》对山东现代水网骨干工程建设作出安排部署，提出“加快推进水利基础设施建设，实施水网工程，提升水资源优化配置和水旱灾害防御能力”。2022年1月，省政府以鲁政字〔2022〕22号印发《山东现代水网建设规划》，明确了“一轴三环、七纵九横、两湖多库”的省级水网总体格局，并提出“加快构建完善市县水网，与省级水网规划有机衔接，确保发展方向、目标指标、重大政策、重大工程等协调统一、全面落实”。2022年7月28日，山东省第十三届人民代表大会常务委员会第三十六次会议审议通过《山东省人民代表大会常务委员会关于加强山东现代水网建设的决定》，为现代水网建设提供了立法保障。2022年8月，山东省被水利部确定为全国第一批省级水网先导区。</w:t>
      </w:r>
    </w:p>
    <w:p w14:paraId="04E811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12月28日，烟台市人民政府以烟政字〔2022〕81号文印发了《烟台市现代水网建设规划》。为深入贯彻落实习近平总书记重要指示精神以及省委、省政府部署要求，抓住山东省和烟台市建设大水网的机遇，加快构建莱山区现代水网，建设现代化高质量水利基础设施网络，统筹解决水资源、水生态、水环境、水灾害问题，按照莱山区区委、区政府安排，在深入调研、充分论证、广泛征求意见的基础上，基于莱山区实际，开展</w:t>
      </w:r>
      <w:r>
        <w:rPr>
          <w:rFonts w:hint="default"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烟台市</w:t>
      </w:r>
      <w:r>
        <w:rPr>
          <w:rFonts w:hint="default" w:ascii="Times New Roman" w:hAnsi="Times New Roman" w:eastAsia="仿宋_GB2312" w:cs="Times New Roman"/>
          <w:sz w:val="32"/>
          <w:szCs w:val="32"/>
        </w:rPr>
        <w:t>莱山区现代水网建设规划》编制。</w:t>
      </w:r>
    </w:p>
    <w:p w14:paraId="54CE8D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重大行政决策暂行条例》（国务院令第713号）要求，烟台市政府办公室下发了《关于启动2019年市级重大行政决策事项的通知》，着重将决定对经济社会发展有重大影响、涉及重大公共利益或者社会公众切身利益的其他重大事项纳入市级重大行政决策事项范围。此次《</w:t>
      </w:r>
      <w:r>
        <w:rPr>
          <w:rFonts w:hint="default" w:ascii="Times New Roman" w:hAnsi="Times New Roman" w:eastAsia="仿宋_GB2312" w:cs="Times New Roman"/>
          <w:sz w:val="32"/>
          <w:szCs w:val="32"/>
          <w:lang w:eastAsia="zh-CN"/>
        </w:rPr>
        <w:t>烟台市莱山区现代水网建设规划</w:t>
      </w:r>
      <w:r>
        <w:rPr>
          <w:rFonts w:hint="default" w:ascii="Times New Roman" w:hAnsi="Times New Roman" w:eastAsia="仿宋_GB2312" w:cs="Times New Roman"/>
          <w:sz w:val="32"/>
          <w:szCs w:val="32"/>
        </w:rPr>
        <w:t>》（以下简称《规划》）属于重大决策范畴，应单独进行风险评估。</w:t>
      </w:r>
    </w:p>
    <w:p w14:paraId="6BDF3A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通过对《规划》决策的合法性、合理性、可行性、公平性、安全可控性和决策执行力等进行的风险识别及分析，查找并列出风险点、风险发生的概率及影响程度，从而确定此次重大决策的社会稳定风险等级。</w:t>
      </w:r>
    </w:p>
    <w:p w14:paraId="5D89F5B2">
      <w:pPr>
        <w:spacing w:line="56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（一）估计方法</w:t>
      </w:r>
    </w:p>
    <w:p w14:paraId="7048A3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风险估计时采用定性分析和定量分析相结合的方法，逐一从产生风险的原因、影响表现、风险分布、影响程度等维度对风险因素进行多维度的分析。分别从风险概率、风险的影响程度和风险程度三个方面进行考察。</w:t>
      </w:r>
    </w:p>
    <w:p w14:paraId="0113D5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风险概率是指风险事件转化为社会稳定风险事件的可能性。按照风险因素发生的可能性，将风险概率划分为很高、较高、中等、较低、很低五个等级，各个等级划分依据（见表-1）。风险的影响程度是指风险因素影响时间、影响规模、群众承受能力等综合情况。对于单个风险因素的风险程度按照严重、较大、一般、较小、微小五个等级，各个等级的划分依据（见表-2）。风险程度为风险概率和风向影响程度的乘积。将单个风险因素的风险程度划分为重大、较大、一般、较小和微小五个等级。（见表-3）</w:t>
      </w:r>
      <w:r>
        <w:rPr>
          <w:rFonts w:hint="default" w:ascii="Times New Roman" w:hAnsi="Times New Roman" w:eastAsia="仿宋_GB2312" w:cs="Times New Roman"/>
          <w:sz w:val="32"/>
          <w:szCs w:val="32"/>
          <w:lang w:eastAsia="zh-CN"/>
        </w:rPr>
        <w:t>。</w:t>
      </w:r>
    </w:p>
    <w:p w14:paraId="33FA63CB">
      <w:pPr>
        <w:spacing w:line="360" w:lineRule="auto"/>
        <w:jc w:val="both"/>
        <w:rPr>
          <w:rFonts w:hint="default" w:ascii="Times New Roman" w:hAnsi="Times New Roman" w:cs="Times New Roman"/>
        </w:rPr>
      </w:pPr>
    </w:p>
    <w:p w14:paraId="56E86F23">
      <w:pPr>
        <w:spacing w:line="360" w:lineRule="auto"/>
        <w:jc w:val="center"/>
        <w:rPr>
          <w:rFonts w:hint="default" w:ascii="Times New Roman" w:hAnsi="Times New Roman" w:cs="Times New Roman"/>
        </w:rPr>
      </w:pPr>
      <w:r>
        <w:rPr>
          <w:rFonts w:hint="default" w:ascii="Times New Roman" w:hAnsi="Times New Roman" w:cs="Times New Roman"/>
        </w:rPr>
        <w:t>表-1风险概率划分等级表</w:t>
      </w:r>
    </w:p>
    <w:tbl>
      <w:tblPr>
        <w:tblStyle w:val="1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6639"/>
        <w:gridCol w:w="939"/>
      </w:tblGrid>
      <w:tr w14:paraId="2B78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pct"/>
            <w:vAlign w:val="center"/>
          </w:tcPr>
          <w:p w14:paraId="2B1E9AE0">
            <w:pPr>
              <w:spacing w:line="360" w:lineRule="auto"/>
              <w:jc w:val="center"/>
              <w:rPr>
                <w:rFonts w:hint="default" w:ascii="Times New Roman" w:hAnsi="Times New Roman" w:cs="Times New Roman"/>
              </w:rPr>
            </w:pPr>
            <w:r>
              <w:rPr>
                <w:rFonts w:hint="default" w:ascii="Times New Roman" w:hAnsi="Times New Roman" w:cs="Times New Roman"/>
              </w:rPr>
              <w:t>等级</w:t>
            </w:r>
          </w:p>
        </w:tc>
        <w:tc>
          <w:tcPr>
            <w:tcW w:w="3895" w:type="pct"/>
            <w:vAlign w:val="center"/>
          </w:tcPr>
          <w:p w14:paraId="20E10822">
            <w:pPr>
              <w:spacing w:line="360" w:lineRule="auto"/>
              <w:jc w:val="center"/>
              <w:rPr>
                <w:rFonts w:hint="default" w:ascii="Times New Roman" w:hAnsi="Times New Roman" w:cs="Times New Roman"/>
              </w:rPr>
            </w:pPr>
            <w:r>
              <w:rPr>
                <w:rFonts w:hint="default" w:ascii="Times New Roman" w:hAnsi="Times New Roman" w:cs="Times New Roman"/>
              </w:rPr>
              <w:t>参考依据</w:t>
            </w:r>
          </w:p>
        </w:tc>
        <w:tc>
          <w:tcPr>
            <w:tcW w:w="551" w:type="pct"/>
            <w:vAlign w:val="center"/>
          </w:tcPr>
          <w:p w14:paraId="2FF6E85D">
            <w:pPr>
              <w:spacing w:line="360" w:lineRule="auto"/>
              <w:jc w:val="center"/>
              <w:rPr>
                <w:rFonts w:hint="default" w:ascii="Times New Roman" w:hAnsi="Times New Roman" w:cs="Times New Roman"/>
              </w:rPr>
            </w:pPr>
            <w:r>
              <w:rPr>
                <w:rFonts w:hint="default" w:ascii="Times New Roman" w:hAnsi="Times New Roman" w:cs="Times New Roman"/>
              </w:rPr>
              <w:t>表示</w:t>
            </w:r>
          </w:p>
        </w:tc>
      </w:tr>
      <w:tr w14:paraId="3AD2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pct"/>
            <w:vAlign w:val="center"/>
          </w:tcPr>
          <w:p w14:paraId="01917A2E">
            <w:pPr>
              <w:spacing w:line="360" w:lineRule="auto"/>
              <w:jc w:val="center"/>
              <w:rPr>
                <w:rFonts w:hint="default" w:ascii="Times New Roman" w:hAnsi="Times New Roman" w:cs="Times New Roman"/>
              </w:rPr>
            </w:pPr>
            <w:r>
              <w:rPr>
                <w:rFonts w:hint="default" w:ascii="Times New Roman" w:hAnsi="Times New Roman" w:cs="Times New Roman"/>
              </w:rPr>
              <w:t>很高</w:t>
            </w:r>
          </w:p>
        </w:tc>
        <w:tc>
          <w:tcPr>
            <w:tcW w:w="3895" w:type="pct"/>
            <w:vAlign w:val="center"/>
          </w:tcPr>
          <w:p w14:paraId="3D1A7439">
            <w:pPr>
              <w:spacing w:line="360" w:lineRule="auto"/>
              <w:jc w:val="center"/>
              <w:rPr>
                <w:rFonts w:hint="default" w:ascii="Times New Roman" w:hAnsi="Times New Roman" w:cs="Times New Roman"/>
              </w:rPr>
            </w:pPr>
            <w:r>
              <w:rPr>
                <w:rFonts w:hint="default" w:ascii="Times New Roman" w:hAnsi="Times New Roman" w:cs="Times New Roman"/>
              </w:rPr>
              <w:t>几乎确定（约0.8～1）</w:t>
            </w:r>
          </w:p>
        </w:tc>
        <w:tc>
          <w:tcPr>
            <w:tcW w:w="551" w:type="pct"/>
            <w:vAlign w:val="center"/>
          </w:tcPr>
          <w:p w14:paraId="3FBADC90">
            <w:pPr>
              <w:spacing w:line="360" w:lineRule="auto"/>
              <w:jc w:val="center"/>
              <w:rPr>
                <w:rFonts w:hint="default" w:ascii="Times New Roman" w:hAnsi="Times New Roman" w:cs="Times New Roman"/>
              </w:rPr>
            </w:pPr>
            <w:r>
              <w:rPr>
                <w:rFonts w:hint="default" w:ascii="Times New Roman" w:hAnsi="Times New Roman" w:cs="Times New Roman"/>
              </w:rPr>
              <w:t>S</w:t>
            </w:r>
          </w:p>
        </w:tc>
      </w:tr>
      <w:tr w14:paraId="4CD0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pct"/>
            <w:vAlign w:val="center"/>
          </w:tcPr>
          <w:p w14:paraId="38945363">
            <w:pPr>
              <w:spacing w:line="360" w:lineRule="auto"/>
              <w:jc w:val="center"/>
              <w:rPr>
                <w:rFonts w:hint="default" w:ascii="Times New Roman" w:hAnsi="Times New Roman" w:cs="Times New Roman"/>
              </w:rPr>
            </w:pPr>
            <w:r>
              <w:rPr>
                <w:rFonts w:hint="default" w:ascii="Times New Roman" w:hAnsi="Times New Roman" w:cs="Times New Roman"/>
              </w:rPr>
              <w:t>较高</w:t>
            </w:r>
          </w:p>
        </w:tc>
        <w:tc>
          <w:tcPr>
            <w:tcW w:w="3895" w:type="pct"/>
            <w:vAlign w:val="center"/>
          </w:tcPr>
          <w:p w14:paraId="4F01E6D2">
            <w:pPr>
              <w:spacing w:line="360" w:lineRule="auto"/>
              <w:jc w:val="center"/>
              <w:rPr>
                <w:rFonts w:hint="default" w:ascii="Times New Roman" w:hAnsi="Times New Roman" w:cs="Times New Roman"/>
              </w:rPr>
            </w:pPr>
            <w:r>
              <w:rPr>
                <w:rFonts w:hint="default" w:ascii="Times New Roman" w:hAnsi="Times New Roman" w:cs="Times New Roman"/>
              </w:rPr>
              <w:t>很可能发生（约0.6～0.8）</w:t>
            </w:r>
          </w:p>
        </w:tc>
        <w:tc>
          <w:tcPr>
            <w:tcW w:w="551" w:type="pct"/>
            <w:vAlign w:val="center"/>
          </w:tcPr>
          <w:p w14:paraId="5D45B195">
            <w:pPr>
              <w:spacing w:line="360" w:lineRule="auto"/>
              <w:jc w:val="center"/>
              <w:rPr>
                <w:rFonts w:hint="default" w:ascii="Times New Roman" w:hAnsi="Times New Roman" w:cs="Times New Roman"/>
              </w:rPr>
            </w:pPr>
            <w:r>
              <w:rPr>
                <w:rFonts w:hint="default" w:ascii="Times New Roman" w:hAnsi="Times New Roman" w:cs="Times New Roman"/>
              </w:rPr>
              <w:t>H</w:t>
            </w:r>
          </w:p>
        </w:tc>
      </w:tr>
      <w:tr w14:paraId="13C3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pct"/>
            <w:vAlign w:val="center"/>
          </w:tcPr>
          <w:p w14:paraId="36AE8721">
            <w:pPr>
              <w:spacing w:line="360" w:lineRule="auto"/>
              <w:jc w:val="center"/>
              <w:rPr>
                <w:rFonts w:hint="default" w:ascii="Times New Roman" w:hAnsi="Times New Roman" w:cs="Times New Roman"/>
              </w:rPr>
            </w:pPr>
            <w:r>
              <w:rPr>
                <w:rFonts w:hint="default" w:ascii="Times New Roman" w:hAnsi="Times New Roman" w:cs="Times New Roman"/>
              </w:rPr>
              <w:t>中等</w:t>
            </w:r>
          </w:p>
        </w:tc>
        <w:tc>
          <w:tcPr>
            <w:tcW w:w="3895" w:type="pct"/>
            <w:vAlign w:val="center"/>
          </w:tcPr>
          <w:p w14:paraId="6A42BB2B">
            <w:pPr>
              <w:spacing w:line="360" w:lineRule="auto"/>
              <w:jc w:val="center"/>
              <w:rPr>
                <w:rFonts w:hint="default" w:ascii="Times New Roman" w:hAnsi="Times New Roman" w:cs="Times New Roman"/>
              </w:rPr>
            </w:pPr>
            <w:r>
              <w:rPr>
                <w:rFonts w:hint="default" w:ascii="Times New Roman" w:hAnsi="Times New Roman" w:cs="Times New Roman"/>
              </w:rPr>
              <w:t>有可能发生（约0.4～0.6）</w:t>
            </w:r>
          </w:p>
        </w:tc>
        <w:tc>
          <w:tcPr>
            <w:tcW w:w="551" w:type="pct"/>
            <w:vAlign w:val="center"/>
          </w:tcPr>
          <w:p w14:paraId="380663B6">
            <w:pPr>
              <w:spacing w:line="360" w:lineRule="auto"/>
              <w:jc w:val="center"/>
              <w:rPr>
                <w:rFonts w:hint="default" w:ascii="Times New Roman" w:hAnsi="Times New Roman" w:cs="Times New Roman"/>
              </w:rPr>
            </w:pPr>
            <w:r>
              <w:rPr>
                <w:rFonts w:hint="default" w:ascii="Times New Roman" w:hAnsi="Times New Roman" w:cs="Times New Roman"/>
              </w:rPr>
              <w:t>M</w:t>
            </w:r>
          </w:p>
        </w:tc>
      </w:tr>
      <w:tr w14:paraId="13C1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pct"/>
            <w:vAlign w:val="center"/>
          </w:tcPr>
          <w:p w14:paraId="4127A33B">
            <w:pPr>
              <w:spacing w:line="360" w:lineRule="auto"/>
              <w:jc w:val="center"/>
              <w:rPr>
                <w:rFonts w:hint="default" w:ascii="Times New Roman" w:hAnsi="Times New Roman" w:cs="Times New Roman"/>
              </w:rPr>
            </w:pPr>
            <w:r>
              <w:rPr>
                <w:rFonts w:hint="default" w:ascii="Times New Roman" w:hAnsi="Times New Roman" w:cs="Times New Roman"/>
              </w:rPr>
              <w:t>较低</w:t>
            </w:r>
          </w:p>
        </w:tc>
        <w:tc>
          <w:tcPr>
            <w:tcW w:w="3895" w:type="pct"/>
            <w:vAlign w:val="center"/>
          </w:tcPr>
          <w:p w14:paraId="69911CF0">
            <w:pPr>
              <w:spacing w:line="360" w:lineRule="auto"/>
              <w:jc w:val="center"/>
              <w:rPr>
                <w:rFonts w:hint="default" w:ascii="Times New Roman" w:hAnsi="Times New Roman" w:cs="Times New Roman"/>
              </w:rPr>
            </w:pPr>
            <w:r>
              <w:rPr>
                <w:rFonts w:hint="default" w:ascii="Times New Roman" w:hAnsi="Times New Roman" w:cs="Times New Roman"/>
              </w:rPr>
              <w:t>发生的可能性很小（约0.2～0.4）</w:t>
            </w:r>
          </w:p>
        </w:tc>
        <w:tc>
          <w:tcPr>
            <w:tcW w:w="551" w:type="pct"/>
            <w:vAlign w:val="center"/>
          </w:tcPr>
          <w:p w14:paraId="4F9D2CCF">
            <w:pPr>
              <w:spacing w:line="360" w:lineRule="auto"/>
              <w:jc w:val="center"/>
              <w:rPr>
                <w:rFonts w:hint="default" w:ascii="Times New Roman" w:hAnsi="Times New Roman" w:cs="Times New Roman"/>
              </w:rPr>
            </w:pPr>
            <w:r>
              <w:rPr>
                <w:rFonts w:hint="default" w:ascii="Times New Roman" w:hAnsi="Times New Roman" w:cs="Times New Roman"/>
              </w:rPr>
              <w:t>L</w:t>
            </w:r>
          </w:p>
        </w:tc>
      </w:tr>
      <w:tr w14:paraId="1B3E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pct"/>
            <w:vAlign w:val="center"/>
          </w:tcPr>
          <w:p w14:paraId="2EA94821">
            <w:pPr>
              <w:spacing w:line="360" w:lineRule="auto"/>
              <w:jc w:val="center"/>
              <w:rPr>
                <w:rFonts w:hint="default" w:ascii="Times New Roman" w:hAnsi="Times New Roman" w:cs="Times New Roman"/>
              </w:rPr>
            </w:pPr>
            <w:r>
              <w:rPr>
                <w:rFonts w:hint="default" w:ascii="Times New Roman" w:hAnsi="Times New Roman" w:cs="Times New Roman"/>
              </w:rPr>
              <w:t>很低</w:t>
            </w:r>
          </w:p>
        </w:tc>
        <w:tc>
          <w:tcPr>
            <w:tcW w:w="3895" w:type="pct"/>
            <w:vAlign w:val="center"/>
          </w:tcPr>
          <w:p w14:paraId="29295476">
            <w:pPr>
              <w:spacing w:line="360" w:lineRule="auto"/>
              <w:jc w:val="center"/>
              <w:rPr>
                <w:rFonts w:hint="default" w:ascii="Times New Roman" w:hAnsi="Times New Roman" w:cs="Times New Roman"/>
              </w:rPr>
            </w:pPr>
            <w:r>
              <w:rPr>
                <w:rFonts w:hint="default" w:ascii="Times New Roman" w:hAnsi="Times New Roman" w:cs="Times New Roman"/>
              </w:rPr>
              <w:t>发生的可能性很小，几乎不可能（约0~0.2）</w:t>
            </w:r>
          </w:p>
        </w:tc>
        <w:tc>
          <w:tcPr>
            <w:tcW w:w="551" w:type="pct"/>
            <w:vAlign w:val="center"/>
          </w:tcPr>
          <w:p w14:paraId="759493DE">
            <w:pPr>
              <w:spacing w:line="360" w:lineRule="auto"/>
              <w:jc w:val="center"/>
              <w:rPr>
                <w:rFonts w:hint="default" w:ascii="Times New Roman" w:hAnsi="Times New Roman" w:cs="Times New Roman"/>
              </w:rPr>
            </w:pPr>
            <w:r>
              <w:rPr>
                <w:rFonts w:hint="default" w:ascii="Times New Roman" w:hAnsi="Times New Roman" w:cs="Times New Roman"/>
              </w:rPr>
              <w:t>N</w:t>
            </w:r>
          </w:p>
        </w:tc>
      </w:tr>
    </w:tbl>
    <w:p w14:paraId="2E8EDD4D">
      <w:pPr>
        <w:spacing w:line="360" w:lineRule="auto"/>
        <w:jc w:val="center"/>
        <w:rPr>
          <w:rFonts w:hint="default" w:ascii="Times New Roman" w:hAnsi="Times New Roman" w:cs="Times New Roman"/>
        </w:rPr>
      </w:pPr>
      <w:r>
        <w:rPr>
          <w:rFonts w:hint="default" w:ascii="Times New Roman" w:hAnsi="Times New Roman" w:cs="Times New Roman"/>
        </w:rPr>
        <w:t>表-2风险影响程度划分等级表</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6835"/>
        <w:gridCol w:w="859"/>
      </w:tblGrid>
      <w:tr w14:paraId="2026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14:paraId="338F3184">
            <w:pPr>
              <w:spacing w:line="360" w:lineRule="auto"/>
              <w:jc w:val="center"/>
              <w:rPr>
                <w:rFonts w:hint="default" w:ascii="Times New Roman" w:hAnsi="Times New Roman" w:cs="Times New Roman"/>
              </w:rPr>
            </w:pPr>
            <w:r>
              <w:rPr>
                <w:rFonts w:hint="default" w:ascii="Times New Roman" w:hAnsi="Times New Roman" w:cs="Times New Roman"/>
              </w:rPr>
              <w:t>等级</w:t>
            </w:r>
          </w:p>
        </w:tc>
        <w:tc>
          <w:tcPr>
            <w:tcW w:w="4010" w:type="pct"/>
            <w:vAlign w:val="center"/>
          </w:tcPr>
          <w:p w14:paraId="664C098E">
            <w:pPr>
              <w:spacing w:line="360" w:lineRule="auto"/>
              <w:jc w:val="center"/>
              <w:rPr>
                <w:rFonts w:hint="default" w:ascii="Times New Roman" w:hAnsi="Times New Roman" w:cs="Times New Roman"/>
              </w:rPr>
            </w:pPr>
            <w:r>
              <w:rPr>
                <w:rFonts w:hint="default" w:ascii="Times New Roman" w:hAnsi="Times New Roman" w:cs="Times New Roman"/>
              </w:rPr>
              <w:t>参考依据</w:t>
            </w:r>
          </w:p>
        </w:tc>
        <w:tc>
          <w:tcPr>
            <w:tcW w:w="504" w:type="pct"/>
            <w:vAlign w:val="center"/>
          </w:tcPr>
          <w:p w14:paraId="61EE6E61">
            <w:pPr>
              <w:spacing w:line="360" w:lineRule="auto"/>
              <w:jc w:val="center"/>
              <w:rPr>
                <w:rFonts w:hint="default" w:ascii="Times New Roman" w:hAnsi="Times New Roman" w:cs="Times New Roman"/>
              </w:rPr>
            </w:pPr>
            <w:r>
              <w:rPr>
                <w:rFonts w:hint="default" w:ascii="Times New Roman" w:hAnsi="Times New Roman" w:cs="Times New Roman"/>
              </w:rPr>
              <w:t>表示</w:t>
            </w:r>
          </w:p>
        </w:tc>
      </w:tr>
      <w:tr w14:paraId="12AA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14:paraId="31826460">
            <w:pPr>
              <w:spacing w:line="360" w:lineRule="auto"/>
              <w:jc w:val="center"/>
              <w:rPr>
                <w:rFonts w:hint="default" w:ascii="Times New Roman" w:hAnsi="Times New Roman" w:cs="Times New Roman"/>
              </w:rPr>
            </w:pPr>
            <w:r>
              <w:rPr>
                <w:rFonts w:hint="default" w:ascii="Times New Roman" w:hAnsi="Times New Roman" w:cs="Times New Roman"/>
              </w:rPr>
              <w:t>重大</w:t>
            </w:r>
          </w:p>
        </w:tc>
        <w:tc>
          <w:tcPr>
            <w:tcW w:w="4010" w:type="pct"/>
            <w:vAlign w:val="center"/>
          </w:tcPr>
          <w:p w14:paraId="3B0F1678">
            <w:pPr>
              <w:spacing w:line="360" w:lineRule="auto"/>
              <w:rPr>
                <w:rFonts w:hint="default" w:ascii="Times New Roman" w:hAnsi="Times New Roman" w:cs="Times New Roman"/>
              </w:rPr>
            </w:pPr>
            <w:r>
              <w:rPr>
                <w:rFonts w:hint="default" w:ascii="Times New Roman" w:hAnsi="Times New Roman" w:cs="Times New Roman"/>
              </w:rPr>
              <w:t>关系到相关群体的基本权利、重大利益；风险影响的规模大、涉及人数众多；影响时间长；可能引起严重风险事件，造成极大负面影响。</w:t>
            </w:r>
          </w:p>
        </w:tc>
        <w:tc>
          <w:tcPr>
            <w:tcW w:w="504" w:type="pct"/>
            <w:vAlign w:val="center"/>
          </w:tcPr>
          <w:p w14:paraId="717B026A">
            <w:pPr>
              <w:spacing w:line="360" w:lineRule="auto"/>
              <w:jc w:val="center"/>
              <w:rPr>
                <w:rFonts w:hint="default" w:ascii="Times New Roman" w:hAnsi="Times New Roman" w:cs="Times New Roman"/>
              </w:rPr>
            </w:pPr>
            <w:r>
              <w:rPr>
                <w:rFonts w:hint="default" w:ascii="Times New Roman" w:hAnsi="Times New Roman" w:cs="Times New Roman"/>
              </w:rPr>
              <w:t>S</w:t>
            </w:r>
          </w:p>
        </w:tc>
      </w:tr>
      <w:tr w14:paraId="039F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14:paraId="743AC044">
            <w:pPr>
              <w:spacing w:line="360" w:lineRule="auto"/>
              <w:jc w:val="center"/>
              <w:rPr>
                <w:rFonts w:hint="default" w:ascii="Times New Roman" w:hAnsi="Times New Roman" w:cs="Times New Roman"/>
              </w:rPr>
            </w:pPr>
            <w:r>
              <w:rPr>
                <w:rFonts w:hint="default" w:ascii="Times New Roman" w:hAnsi="Times New Roman" w:cs="Times New Roman"/>
              </w:rPr>
              <w:t>较大</w:t>
            </w:r>
          </w:p>
        </w:tc>
        <w:tc>
          <w:tcPr>
            <w:tcW w:w="4010" w:type="pct"/>
            <w:vAlign w:val="center"/>
          </w:tcPr>
          <w:p w14:paraId="0BD77121">
            <w:pPr>
              <w:spacing w:line="360" w:lineRule="auto"/>
              <w:rPr>
                <w:rFonts w:hint="default" w:ascii="Times New Roman" w:hAnsi="Times New Roman" w:cs="Times New Roman"/>
              </w:rPr>
            </w:pPr>
            <w:r>
              <w:rPr>
                <w:rFonts w:hint="default" w:ascii="Times New Roman" w:hAnsi="Times New Roman" w:cs="Times New Roman"/>
              </w:rPr>
              <w:t>关系到相关群体的重要权利和利益；风险影响规模较大，涉及人数较多，影响时间较长；可能引发较大风险事件，造成较大负面影响。</w:t>
            </w:r>
          </w:p>
        </w:tc>
        <w:tc>
          <w:tcPr>
            <w:tcW w:w="504" w:type="pct"/>
            <w:vAlign w:val="center"/>
          </w:tcPr>
          <w:p w14:paraId="65D9CC2E">
            <w:pPr>
              <w:spacing w:line="360" w:lineRule="auto"/>
              <w:jc w:val="center"/>
              <w:rPr>
                <w:rFonts w:hint="default" w:ascii="Times New Roman" w:hAnsi="Times New Roman" w:cs="Times New Roman"/>
              </w:rPr>
            </w:pPr>
            <w:r>
              <w:rPr>
                <w:rFonts w:hint="default" w:ascii="Times New Roman" w:hAnsi="Times New Roman" w:cs="Times New Roman"/>
              </w:rPr>
              <w:t>H</w:t>
            </w:r>
          </w:p>
        </w:tc>
      </w:tr>
      <w:tr w14:paraId="7B21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14:paraId="2CCF011D">
            <w:pPr>
              <w:spacing w:line="360" w:lineRule="auto"/>
              <w:jc w:val="center"/>
              <w:rPr>
                <w:rFonts w:hint="default" w:ascii="Times New Roman" w:hAnsi="Times New Roman" w:cs="Times New Roman"/>
              </w:rPr>
            </w:pPr>
            <w:r>
              <w:rPr>
                <w:rFonts w:hint="default" w:ascii="Times New Roman" w:hAnsi="Times New Roman" w:cs="Times New Roman"/>
              </w:rPr>
              <w:t>一般</w:t>
            </w:r>
          </w:p>
        </w:tc>
        <w:tc>
          <w:tcPr>
            <w:tcW w:w="4010" w:type="pct"/>
            <w:vAlign w:val="center"/>
          </w:tcPr>
          <w:p w14:paraId="7A33310F">
            <w:pPr>
              <w:spacing w:line="360" w:lineRule="auto"/>
              <w:rPr>
                <w:rFonts w:hint="default" w:ascii="Times New Roman" w:hAnsi="Times New Roman" w:cs="Times New Roman"/>
              </w:rPr>
            </w:pPr>
            <w:r>
              <w:rPr>
                <w:rFonts w:hint="default" w:ascii="Times New Roman" w:hAnsi="Times New Roman" w:cs="Times New Roman"/>
              </w:rPr>
              <w:t>对相关利益群体合法群益造成不利影响；风险影响规模中等，涉及一定数量；可能引发一般风险事件，在当地造成一定负面影响。</w:t>
            </w:r>
          </w:p>
        </w:tc>
        <w:tc>
          <w:tcPr>
            <w:tcW w:w="504" w:type="pct"/>
            <w:vAlign w:val="center"/>
          </w:tcPr>
          <w:p w14:paraId="6F28AB60">
            <w:pPr>
              <w:spacing w:line="360" w:lineRule="auto"/>
              <w:jc w:val="center"/>
              <w:rPr>
                <w:rFonts w:hint="default" w:ascii="Times New Roman" w:hAnsi="Times New Roman" w:cs="Times New Roman"/>
              </w:rPr>
            </w:pPr>
            <w:r>
              <w:rPr>
                <w:rFonts w:hint="default" w:ascii="Times New Roman" w:hAnsi="Times New Roman" w:cs="Times New Roman"/>
              </w:rPr>
              <w:t>M</w:t>
            </w:r>
          </w:p>
        </w:tc>
      </w:tr>
      <w:tr w14:paraId="7110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14:paraId="24A88D4E">
            <w:pPr>
              <w:spacing w:line="360" w:lineRule="auto"/>
              <w:jc w:val="center"/>
              <w:rPr>
                <w:rFonts w:hint="default" w:ascii="Times New Roman" w:hAnsi="Times New Roman" w:cs="Times New Roman"/>
              </w:rPr>
            </w:pPr>
            <w:r>
              <w:rPr>
                <w:rFonts w:hint="default" w:ascii="Times New Roman" w:hAnsi="Times New Roman" w:cs="Times New Roman"/>
              </w:rPr>
              <w:t>较小</w:t>
            </w:r>
          </w:p>
        </w:tc>
        <w:tc>
          <w:tcPr>
            <w:tcW w:w="4010" w:type="pct"/>
            <w:vAlign w:val="center"/>
          </w:tcPr>
          <w:p w14:paraId="54176180">
            <w:pPr>
              <w:spacing w:line="360" w:lineRule="auto"/>
              <w:rPr>
                <w:rFonts w:hint="default" w:ascii="Times New Roman" w:hAnsi="Times New Roman" w:cs="Times New Roman"/>
              </w:rPr>
            </w:pPr>
            <w:r>
              <w:rPr>
                <w:rFonts w:hint="default" w:ascii="Times New Roman" w:hAnsi="Times New Roman" w:cs="Times New Roman"/>
              </w:rPr>
              <w:t>风险影响规模较小，涉及人数较少，影响时间较短；可能零星引发一般风险事件，局部范围造成不利负面影响。</w:t>
            </w:r>
          </w:p>
        </w:tc>
        <w:tc>
          <w:tcPr>
            <w:tcW w:w="504" w:type="pct"/>
            <w:vAlign w:val="center"/>
          </w:tcPr>
          <w:p w14:paraId="3C737E7E">
            <w:pPr>
              <w:spacing w:line="360" w:lineRule="auto"/>
              <w:jc w:val="center"/>
              <w:rPr>
                <w:rFonts w:hint="default" w:ascii="Times New Roman" w:hAnsi="Times New Roman" w:cs="Times New Roman"/>
              </w:rPr>
            </w:pPr>
            <w:r>
              <w:rPr>
                <w:rFonts w:hint="default" w:ascii="Times New Roman" w:hAnsi="Times New Roman" w:cs="Times New Roman"/>
              </w:rPr>
              <w:t>L</w:t>
            </w:r>
          </w:p>
        </w:tc>
      </w:tr>
      <w:tr w14:paraId="703B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14:paraId="7E53FD00">
            <w:pPr>
              <w:spacing w:line="360" w:lineRule="auto"/>
              <w:jc w:val="center"/>
              <w:rPr>
                <w:rFonts w:hint="default" w:ascii="Times New Roman" w:hAnsi="Times New Roman" w:cs="Times New Roman"/>
              </w:rPr>
            </w:pPr>
            <w:r>
              <w:rPr>
                <w:rFonts w:hint="default" w:ascii="Times New Roman" w:hAnsi="Times New Roman" w:cs="Times New Roman"/>
              </w:rPr>
              <w:t>微小</w:t>
            </w:r>
          </w:p>
        </w:tc>
        <w:tc>
          <w:tcPr>
            <w:tcW w:w="4010" w:type="pct"/>
            <w:vAlign w:val="center"/>
          </w:tcPr>
          <w:p w14:paraId="40989259">
            <w:pPr>
              <w:spacing w:line="360" w:lineRule="auto"/>
              <w:rPr>
                <w:rFonts w:hint="default" w:ascii="Times New Roman" w:hAnsi="Times New Roman" w:cs="Times New Roman"/>
              </w:rPr>
            </w:pPr>
            <w:r>
              <w:rPr>
                <w:rFonts w:hint="default" w:ascii="Times New Roman" w:hAnsi="Times New Roman" w:cs="Times New Roman"/>
              </w:rPr>
              <w:t>风险影响规模有限，涉及个别利益相关者，可能引发个别矛盾，影响短时间可以消除。</w:t>
            </w:r>
          </w:p>
        </w:tc>
        <w:tc>
          <w:tcPr>
            <w:tcW w:w="504" w:type="pct"/>
            <w:vAlign w:val="center"/>
          </w:tcPr>
          <w:p w14:paraId="17B63E7A">
            <w:pPr>
              <w:spacing w:line="360" w:lineRule="auto"/>
              <w:jc w:val="center"/>
              <w:rPr>
                <w:rFonts w:hint="default" w:ascii="Times New Roman" w:hAnsi="Times New Roman" w:cs="Times New Roman"/>
              </w:rPr>
            </w:pPr>
            <w:r>
              <w:rPr>
                <w:rFonts w:hint="default" w:ascii="Times New Roman" w:hAnsi="Times New Roman" w:cs="Times New Roman"/>
              </w:rPr>
              <w:t>N</w:t>
            </w:r>
          </w:p>
        </w:tc>
      </w:tr>
    </w:tbl>
    <w:p w14:paraId="36A3DDB2">
      <w:pPr>
        <w:spacing w:line="360" w:lineRule="auto"/>
        <w:jc w:val="center"/>
        <w:rPr>
          <w:rFonts w:hint="default" w:ascii="Times New Roman" w:hAnsi="Times New Roman" w:cs="Times New Roman"/>
        </w:rPr>
      </w:pPr>
      <w:r>
        <w:rPr>
          <w:rFonts w:hint="default" w:ascii="Times New Roman" w:hAnsi="Times New Roman" w:cs="Times New Roman"/>
        </w:rPr>
        <w:t>表-3风险程度划分等级表</w:t>
      </w:r>
    </w:p>
    <w:tbl>
      <w:tblPr>
        <w:tblStyle w:val="11"/>
        <w:tblW w:w="8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4660"/>
        <w:gridCol w:w="1825"/>
      </w:tblGrid>
      <w:tr w14:paraId="010E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25" w:type="dxa"/>
            <w:vAlign w:val="center"/>
          </w:tcPr>
          <w:p w14:paraId="7945DC3E">
            <w:pPr>
              <w:spacing w:line="360" w:lineRule="auto"/>
              <w:jc w:val="center"/>
              <w:rPr>
                <w:rFonts w:hint="default" w:ascii="Times New Roman" w:hAnsi="Times New Roman" w:cs="Times New Roman"/>
              </w:rPr>
            </w:pPr>
            <w:r>
              <w:rPr>
                <w:rFonts w:hint="default" w:ascii="Times New Roman" w:hAnsi="Times New Roman" w:cs="Times New Roman"/>
              </w:rPr>
              <w:t>等级</w:t>
            </w:r>
          </w:p>
        </w:tc>
        <w:tc>
          <w:tcPr>
            <w:tcW w:w="4660" w:type="dxa"/>
            <w:vAlign w:val="center"/>
          </w:tcPr>
          <w:p w14:paraId="41D93557">
            <w:pPr>
              <w:spacing w:line="360" w:lineRule="auto"/>
              <w:jc w:val="center"/>
              <w:rPr>
                <w:rFonts w:hint="default" w:ascii="Times New Roman" w:hAnsi="Times New Roman" w:cs="Times New Roman"/>
              </w:rPr>
            </w:pPr>
            <w:r>
              <w:rPr>
                <w:rFonts w:hint="default" w:ascii="Times New Roman" w:hAnsi="Times New Roman" w:cs="Times New Roman"/>
              </w:rPr>
              <w:t>参考依据</w:t>
            </w:r>
          </w:p>
        </w:tc>
        <w:tc>
          <w:tcPr>
            <w:tcW w:w="1825" w:type="dxa"/>
            <w:vAlign w:val="center"/>
          </w:tcPr>
          <w:p w14:paraId="2EC48A5B">
            <w:pPr>
              <w:spacing w:line="360" w:lineRule="auto"/>
              <w:jc w:val="center"/>
              <w:rPr>
                <w:rFonts w:hint="default" w:ascii="Times New Roman" w:hAnsi="Times New Roman" w:cs="Times New Roman"/>
              </w:rPr>
            </w:pPr>
            <w:r>
              <w:rPr>
                <w:rFonts w:hint="default" w:ascii="Times New Roman" w:hAnsi="Times New Roman" w:cs="Times New Roman"/>
              </w:rPr>
              <w:t>表示</w:t>
            </w:r>
          </w:p>
        </w:tc>
      </w:tr>
      <w:tr w14:paraId="6BF2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25" w:type="dxa"/>
            <w:vAlign w:val="center"/>
          </w:tcPr>
          <w:p w14:paraId="587948DC">
            <w:pPr>
              <w:spacing w:line="360" w:lineRule="auto"/>
              <w:jc w:val="center"/>
              <w:rPr>
                <w:rFonts w:hint="default" w:ascii="Times New Roman" w:hAnsi="Times New Roman" w:cs="Times New Roman"/>
              </w:rPr>
            </w:pPr>
            <w:r>
              <w:rPr>
                <w:rFonts w:hint="default" w:ascii="Times New Roman" w:hAnsi="Times New Roman" w:cs="Times New Roman"/>
              </w:rPr>
              <w:t>重大</w:t>
            </w:r>
          </w:p>
        </w:tc>
        <w:tc>
          <w:tcPr>
            <w:tcW w:w="4660" w:type="dxa"/>
            <w:vAlign w:val="center"/>
          </w:tcPr>
          <w:p w14:paraId="013F3BB5">
            <w:pPr>
              <w:spacing w:line="360" w:lineRule="auto"/>
              <w:jc w:val="center"/>
              <w:rPr>
                <w:rFonts w:hint="default" w:ascii="Times New Roman" w:hAnsi="Times New Roman" w:cs="Times New Roman"/>
              </w:rPr>
            </w:pPr>
            <w:r>
              <w:rPr>
                <w:rFonts w:hint="default" w:ascii="Times New Roman" w:hAnsi="Times New Roman" w:cs="Times New Roman"/>
              </w:rPr>
              <w:t>＞0.64</w:t>
            </w:r>
          </w:p>
        </w:tc>
        <w:tc>
          <w:tcPr>
            <w:tcW w:w="1825" w:type="dxa"/>
            <w:vAlign w:val="center"/>
          </w:tcPr>
          <w:p w14:paraId="37B39FA0">
            <w:pPr>
              <w:spacing w:line="360" w:lineRule="auto"/>
              <w:jc w:val="center"/>
              <w:rPr>
                <w:rFonts w:hint="default" w:ascii="Times New Roman" w:hAnsi="Times New Roman" w:cs="Times New Roman"/>
              </w:rPr>
            </w:pPr>
            <w:r>
              <w:rPr>
                <w:rFonts w:hint="default" w:ascii="Times New Roman" w:hAnsi="Times New Roman" w:cs="Times New Roman"/>
              </w:rPr>
              <w:t>S</w:t>
            </w:r>
          </w:p>
        </w:tc>
      </w:tr>
      <w:tr w14:paraId="18FB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25" w:type="dxa"/>
            <w:vAlign w:val="center"/>
          </w:tcPr>
          <w:p w14:paraId="4C8FBEA2">
            <w:pPr>
              <w:spacing w:line="360" w:lineRule="auto"/>
              <w:jc w:val="center"/>
              <w:rPr>
                <w:rFonts w:hint="default" w:ascii="Times New Roman" w:hAnsi="Times New Roman" w:cs="Times New Roman"/>
              </w:rPr>
            </w:pPr>
            <w:r>
              <w:rPr>
                <w:rFonts w:hint="default" w:ascii="Times New Roman" w:hAnsi="Times New Roman" w:cs="Times New Roman"/>
              </w:rPr>
              <w:t>较大</w:t>
            </w:r>
          </w:p>
        </w:tc>
        <w:tc>
          <w:tcPr>
            <w:tcW w:w="4660" w:type="dxa"/>
            <w:vAlign w:val="center"/>
          </w:tcPr>
          <w:p w14:paraId="27AF3094">
            <w:pPr>
              <w:spacing w:line="360" w:lineRule="auto"/>
              <w:jc w:val="center"/>
              <w:rPr>
                <w:rFonts w:hint="default" w:ascii="Times New Roman" w:hAnsi="Times New Roman" w:cs="Times New Roman"/>
              </w:rPr>
            </w:pPr>
            <w:r>
              <w:rPr>
                <w:rFonts w:hint="default" w:ascii="Times New Roman" w:hAnsi="Times New Roman" w:cs="Times New Roman"/>
              </w:rPr>
              <w:t>0.64≥R＞0.36</w:t>
            </w:r>
          </w:p>
        </w:tc>
        <w:tc>
          <w:tcPr>
            <w:tcW w:w="1825" w:type="dxa"/>
            <w:vAlign w:val="center"/>
          </w:tcPr>
          <w:p w14:paraId="3CAC7395">
            <w:pPr>
              <w:spacing w:line="360" w:lineRule="auto"/>
              <w:jc w:val="center"/>
              <w:rPr>
                <w:rFonts w:hint="default" w:ascii="Times New Roman" w:hAnsi="Times New Roman" w:cs="Times New Roman"/>
              </w:rPr>
            </w:pPr>
            <w:r>
              <w:rPr>
                <w:rFonts w:hint="default" w:ascii="Times New Roman" w:hAnsi="Times New Roman" w:cs="Times New Roman"/>
              </w:rPr>
              <w:t>H</w:t>
            </w:r>
          </w:p>
        </w:tc>
      </w:tr>
      <w:tr w14:paraId="6308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25" w:type="dxa"/>
            <w:vAlign w:val="center"/>
          </w:tcPr>
          <w:p w14:paraId="2CA67E74">
            <w:pPr>
              <w:spacing w:line="360" w:lineRule="auto"/>
              <w:jc w:val="center"/>
              <w:rPr>
                <w:rFonts w:hint="default" w:ascii="Times New Roman" w:hAnsi="Times New Roman" w:cs="Times New Roman"/>
              </w:rPr>
            </w:pPr>
            <w:r>
              <w:rPr>
                <w:rFonts w:hint="default" w:ascii="Times New Roman" w:hAnsi="Times New Roman" w:cs="Times New Roman"/>
              </w:rPr>
              <w:t>一般</w:t>
            </w:r>
          </w:p>
        </w:tc>
        <w:tc>
          <w:tcPr>
            <w:tcW w:w="4660" w:type="dxa"/>
            <w:vAlign w:val="center"/>
          </w:tcPr>
          <w:p w14:paraId="5ABCFD4C">
            <w:pPr>
              <w:spacing w:line="360" w:lineRule="auto"/>
              <w:jc w:val="center"/>
              <w:rPr>
                <w:rFonts w:hint="default" w:ascii="Times New Roman" w:hAnsi="Times New Roman" w:cs="Times New Roman"/>
              </w:rPr>
            </w:pPr>
            <w:r>
              <w:rPr>
                <w:rFonts w:hint="default" w:ascii="Times New Roman" w:hAnsi="Times New Roman" w:cs="Times New Roman"/>
              </w:rPr>
              <w:t>0.36≥R＞0.16</w:t>
            </w:r>
          </w:p>
        </w:tc>
        <w:tc>
          <w:tcPr>
            <w:tcW w:w="1825" w:type="dxa"/>
            <w:vAlign w:val="center"/>
          </w:tcPr>
          <w:p w14:paraId="542A7F26">
            <w:pPr>
              <w:spacing w:line="360" w:lineRule="auto"/>
              <w:jc w:val="center"/>
              <w:rPr>
                <w:rFonts w:hint="default" w:ascii="Times New Roman" w:hAnsi="Times New Roman" w:cs="Times New Roman"/>
              </w:rPr>
            </w:pPr>
            <w:r>
              <w:rPr>
                <w:rFonts w:hint="default" w:ascii="Times New Roman" w:hAnsi="Times New Roman" w:cs="Times New Roman"/>
              </w:rPr>
              <w:t>M</w:t>
            </w:r>
          </w:p>
        </w:tc>
      </w:tr>
      <w:tr w14:paraId="28E7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25" w:type="dxa"/>
            <w:vAlign w:val="center"/>
          </w:tcPr>
          <w:p w14:paraId="5E1B3146">
            <w:pPr>
              <w:spacing w:line="360" w:lineRule="auto"/>
              <w:jc w:val="center"/>
              <w:rPr>
                <w:rFonts w:hint="default" w:ascii="Times New Roman" w:hAnsi="Times New Roman" w:cs="Times New Roman"/>
              </w:rPr>
            </w:pPr>
            <w:r>
              <w:rPr>
                <w:rFonts w:hint="default" w:ascii="Times New Roman" w:hAnsi="Times New Roman" w:cs="Times New Roman"/>
              </w:rPr>
              <w:t>较小</w:t>
            </w:r>
          </w:p>
        </w:tc>
        <w:tc>
          <w:tcPr>
            <w:tcW w:w="4660" w:type="dxa"/>
            <w:vAlign w:val="center"/>
          </w:tcPr>
          <w:p w14:paraId="27E477B5">
            <w:pPr>
              <w:spacing w:line="360" w:lineRule="auto"/>
              <w:jc w:val="center"/>
              <w:rPr>
                <w:rFonts w:hint="default" w:ascii="Times New Roman" w:hAnsi="Times New Roman" w:cs="Times New Roman"/>
              </w:rPr>
            </w:pPr>
            <w:r>
              <w:rPr>
                <w:rFonts w:hint="default" w:ascii="Times New Roman" w:hAnsi="Times New Roman" w:cs="Times New Roman"/>
              </w:rPr>
              <w:t>0.16≥R＞0.04</w:t>
            </w:r>
          </w:p>
        </w:tc>
        <w:tc>
          <w:tcPr>
            <w:tcW w:w="1825" w:type="dxa"/>
            <w:vAlign w:val="center"/>
          </w:tcPr>
          <w:p w14:paraId="067FF405">
            <w:pPr>
              <w:spacing w:line="360" w:lineRule="auto"/>
              <w:jc w:val="center"/>
              <w:rPr>
                <w:rFonts w:hint="default" w:ascii="Times New Roman" w:hAnsi="Times New Roman" w:cs="Times New Roman"/>
              </w:rPr>
            </w:pPr>
            <w:r>
              <w:rPr>
                <w:rFonts w:hint="default" w:ascii="Times New Roman" w:hAnsi="Times New Roman" w:cs="Times New Roman"/>
              </w:rPr>
              <w:t>L</w:t>
            </w:r>
          </w:p>
        </w:tc>
      </w:tr>
      <w:tr w14:paraId="36A0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25" w:type="dxa"/>
            <w:vAlign w:val="center"/>
          </w:tcPr>
          <w:p w14:paraId="375ACC3A">
            <w:pPr>
              <w:spacing w:line="360" w:lineRule="auto"/>
              <w:jc w:val="center"/>
              <w:rPr>
                <w:rFonts w:hint="default" w:ascii="Times New Roman" w:hAnsi="Times New Roman" w:cs="Times New Roman"/>
              </w:rPr>
            </w:pPr>
            <w:r>
              <w:rPr>
                <w:rFonts w:hint="default" w:ascii="Times New Roman" w:hAnsi="Times New Roman" w:cs="Times New Roman"/>
              </w:rPr>
              <w:t>微小</w:t>
            </w:r>
          </w:p>
        </w:tc>
        <w:tc>
          <w:tcPr>
            <w:tcW w:w="4660" w:type="dxa"/>
            <w:vAlign w:val="center"/>
          </w:tcPr>
          <w:p w14:paraId="4AA978D7">
            <w:pPr>
              <w:spacing w:line="360" w:lineRule="auto"/>
              <w:jc w:val="center"/>
              <w:rPr>
                <w:rFonts w:hint="default" w:ascii="Times New Roman" w:hAnsi="Times New Roman" w:cs="Times New Roman"/>
              </w:rPr>
            </w:pPr>
            <w:r>
              <w:rPr>
                <w:rFonts w:hint="default" w:ascii="Times New Roman" w:hAnsi="Times New Roman" w:cs="Times New Roman"/>
              </w:rPr>
              <w:t>R≤0.04</w:t>
            </w:r>
          </w:p>
        </w:tc>
        <w:tc>
          <w:tcPr>
            <w:tcW w:w="1825" w:type="dxa"/>
            <w:vAlign w:val="center"/>
          </w:tcPr>
          <w:p w14:paraId="67E7FCB4">
            <w:pPr>
              <w:spacing w:line="360" w:lineRule="auto"/>
              <w:jc w:val="center"/>
              <w:rPr>
                <w:rFonts w:hint="default" w:ascii="Times New Roman" w:hAnsi="Times New Roman" w:cs="Times New Roman"/>
              </w:rPr>
            </w:pPr>
            <w:r>
              <w:rPr>
                <w:rFonts w:hint="default" w:ascii="Times New Roman" w:hAnsi="Times New Roman" w:cs="Times New Roman"/>
              </w:rPr>
              <w:t>N</w:t>
            </w:r>
          </w:p>
        </w:tc>
      </w:tr>
    </w:tbl>
    <w:p w14:paraId="4EDE3550">
      <w:pPr>
        <w:spacing w:line="56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（二）主要风险因素</w:t>
      </w:r>
    </w:p>
    <w:p w14:paraId="11CD89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通过分析研究，共识别出本决策11个单风险因素：</w:t>
      </w:r>
    </w:p>
    <w:p w14:paraId="45CCAB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听证、公示等公众参与程序是否合法；2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决策的其他外部影响是否会引发社会矛盾和冲突；3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是否充分考虑到时间、空间、人力、物力、财力等制约因素；4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决策方案是否具体、详实，配套措施是否完善；5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是否引发失业率增加；6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是否导致新的收入分配不公、贫富差距加大；</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政府监管水平；</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舆论宣传引导、网络打防管控能力及对负面舆论、恶意炒作应对能力；</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政府各职能部门信息沟通渠道是否畅通。</w:t>
      </w:r>
    </w:p>
    <w:p w14:paraId="0C637C52">
      <w:pPr>
        <w:spacing w:line="56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（三）单因素风险估计</w:t>
      </w:r>
    </w:p>
    <w:p w14:paraId="2938E7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听证、公示等公众参与程序的合法性</w:t>
      </w:r>
    </w:p>
    <w:p w14:paraId="6F6A6D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《规划》决策符合《烟台市重大行政决策程序规定》和中共烟台市委办公室、市政府办公室《关于印发〈烟台市重大决策社会稳定风险评估办法〉的通知》精神，</w:t>
      </w:r>
      <w:r>
        <w:rPr>
          <w:rFonts w:hint="default" w:ascii="Times New Roman" w:hAnsi="Times New Roman" w:eastAsia="仿宋_GB2312" w:cs="Times New Roman"/>
          <w:sz w:val="32"/>
          <w:szCs w:val="32"/>
          <w:lang w:eastAsia="zh-CN"/>
        </w:rPr>
        <w:t>烟台市莱山区农业农村局</w:t>
      </w:r>
      <w:r>
        <w:rPr>
          <w:rFonts w:hint="default" w:ascii="Times New Roman" w:hAnsi="Times New Roman" w:eastAsia="仿宋_GB2312" w:cs="Times New Roman"/>
          <w:sz w:val="32"/>
          <w:szCs w:val="32"/>
        </w:rPr>
        <w:t>已经进行了网络公示、专家论证等环节，以广泛征求公众意见和建议。</w:t>
      </w:r>
    </w:p>
    <w:p w14:paraId="4DAB0B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分析认为此项风险概率很低，风险影响程度较小。</w:t>
      </w:r>
    </w:p>
    <w:p w14:paraId="1B1AAB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决策的其他外部影响是否会引发社会矛盾和冲突</w:t>
      </w:r>
    </w:p>
    <w:p w14:paraId="1B1E97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所谓社会冲突，一般指不同利益群体之间因社会利益的差异和对立而产生的外部对抗行为。社会冲突是社会矛盾的激烈对抗形式，是社会关系紧张与对立的产物。本规划需要特别关注以下几个问题：</w:t>
      </w:r>
      <w:r>
        <w:rPr>
          <w:rFonts w:hint="default" w:ascii="Times New Roman" w:hAnsi="Times New Roman" w:eastAsia="仿宋_GB2312" w:cs="Times New Roman"/>
          <w:sz w:val="32"/>
          <w:szCs w:val="32"/>
          <w:lang w:val="en-US" w:eastAsia="zh-CN"/>
        </w:rPr>
        <w:t>一是规划内容</w:t>
      </w:r>
      <w:r>
        <w:rPr>
          <w:rFonts w:hint="default" w:ascii="Times New Roman" w:hAnsi="Times New Roman" w:eastAsia="仿宋_GB2312" w:cs="Times New Roman"/>
          <w:sz w:val="32"/>
          <w:szCs w:val="32"/>
        </w:rPr>
        <w:t>在施工过程中挖土机械及施工车辆等所产生的噪声，对居民生活带来污染及噪音等方面的影响。为了维护自身的权益，他们可能会采取诸如上访、集会等方式进行所谓维权，酿成群体事件。</w:t>
      </w:r>
    </w:p>
    <w:p w14:paraId="06E836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分析认为采取风险防范、化解措施后，风险发生概率极低，风险影响程度低等。</w:t>
      </w:r>
    </w:p>
    <w:p w14:paraId="4E66B4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是否充分考虑到时间、空间、人力、物力、财力等制约因素</w:t>
      </w:r>
    </w:p>
    <w:p w14:paraId="6E995C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任何决策的出台，都要考虑到制约其顺利实施的时间、空间、人力、物力和财力等因素。大部分的决策，在其初期，对发展环境特别是基础设施的配套、财政金融资源支持度及产业政策等都有较高的要求，而且其从幼稚期到成熟期的过渡需要较长的时间。这一时期，需要政府持续地政策和资源的支撑。一旦这种支持程度不可持续，将导致《规划》不能如若完成，进而造成严重的经济损失和政府公信力的损害，甚至拖累烟台市整体发展的步伐。但考虑到烟台市自改革开放以来，经济社会事业快速发展，城市化快速推进，经济实力雄厚，再者国家及省市层面</w:t>
      </w:r>
      <w:r>
        <w:rPr>
          <w:rFonts w:hint="default" w:ascii="Times New Roman" w:hAnsi="Times New Roman" w:eastAsia="仿宋_GB2312" w:cs="Times New Roman"/>
          <w:sz w:val="32"/>
          <w:szCs w:val="32"/>
          <w:lang w:val="en-US" w:eastAsia="zh-CN"/>
        </w:rPr>
        <w:t>各级专项奖补资金政策层出不穷，</w:t>
      </w:r>
      <w:r>
        <w:rPr>
          <w:rFonts w:hint="default" w:ascii="Times New Roman" w:hAnsi="Times New Roman" w:eastAsia="仿宋_GB2312" w:cs="Times New Roman"/>
          <w:sz w:val="32"/>
          <w:szCs w:val="32"/>
        </w:rPr>
        <w:t>要优化</w:t>
      </w:r>
      <w:r>
        <w:rPr>
          <w:rFonts w:hint="default" w:ascii="Times New Roman" w:hAnsi="Times New Roman" w:eastAsia="仿宋_GB2312" w:cs="Times New Roman"/>
          <w:sz w:val="32"/>
          <w:szCs w:val="32"/>
          <w:lang w:val="en-US" w:eastAsia="zh-CN"/>
        </w:rPr>
        <w:t>莱山区水网高质量发展，</w:t>
      </w:r>
      <w:r>
        <w:rPr>
          <w:rFonts w:hint="default" w:ascii="Times New Roman" w:hAnsi="Times New Roman" w:eastAsia="仿宋_GB2312" w:cs="Times New Roman"/>
          <w:sz w:val="32"/>
          <w:szCs w:val="32"/>
        </w:rPr>
        <w:t>切实做到发展规划优先考虑、资金投入优先保障、资源配置优先满足，加快推进现代化</w:t>
      </w:r>
      <w:r>
        <w:rPr>
          <w:rFonts w:hint="default" w:ascii="Times New Roman" w:hAnsi="Times New Roman" w:eastAsia="仿宋_GB2312" w:cs="Times New Roman"/>
          <w:sz w:val="32"/>
          <w:szCs w:val="32"/>
          <w:lang w:val="en-US" w:eastAsia="zh-CN"/>
        </w:rPr>
        <w:t>水网</w:t>
      </w:r>
      <w:r>
        <w:rPr>
          <w:rFonts w:hint="default" w:ascii="Times New Roman" w:hAnsi="Times New Roman" w:eastAsia="仿宋_GB2312" w:cs="Times New Roman"/>
          <w:sz w:val="32"/>
          <w:szCs w:val="32"/>
        </w:rPr>
        <w:t>建设，因此在政策、资源支持上有良好保障。</w:t>
      </w:r>
    </w:p>
    <w:p w14:paraId="6EC926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分析认为采取风险防范、化解措施后，风险发生概率较低，风险影响程度低等。</w:t>
      </w:r>
    </w:p>
    <w:p w14:paraId="4C3F29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决策方案及配套措施的完善程度</w:t>
      </w:r>
    </w:p>
    <w:p w14:paraId="4F3D3F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烟台市莱山区现代水网建设规划</w:t>
      </w:r>
      <w:r>
        <w:rPr>
          <w:rFonts w:hint="default" w:ascii="Times New Roman" w:hAnsi="Times New Roman" w:eastAsia="仿宋_GB2312" w:cs="Times New Roman"/>
          <w:sz w:val="32"/>
          <w:szCs w:val="32"/>
        </w:rPr>
        <w:t>》，经历了较长时间的准备工作。首先广泛征求群众意见，群策群力；其次听取社会各界意</w:t>
      </w:r>
      <w:r>
        <w:rPr>
          <w:rFonts w:hint="default" w:ascii="Times New Roman" w:hAnsi="Times New Roman" w:eastAsia="仿宋_GB2312" w:cs="Times New Roman"/>
          <w:sz w:val="32"/>
          <w:szCs w:val="32"/>
          <w:lang w:eastAsia="zh-CN"/>
        </w:rPr>
        <w:t>见和建议，进行专家论证，力争方案完善，配套措施可行；最后，委托第三方进行风险分析评估，识别风险因素，评估风险程度，努力将决策的风险降低到最</w:t>
      </w:r>
      <w:r>
        <w:rPr>
          <w:rFonts w:hint="default" w:ascii="Times New Roman" w:hAnsi="Times New Roman" w:eastAsia="仿宋_GB2312" w:cs="Times New Roman"/>
          <w:sz w:val="32"/>
          <w:szCs w:val="32"/>
        </w:rPr>
        <w:t>低。</w:t>
      </w:r>
    </w:p>
    <w:p w14:paraId="02E31A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分析认为采取风险防范、化解措施后，风险发生概率较低，风险影响程度较小。</w:t>
      </w:r>
    </w:p>
    <w:p w14:paraId="4038F8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是否引发失业率增加</w:t>
      </w:r>
    </w:p>
    <w:p w14:paraId="062C32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项目的推进不会引发失业率，规划</w:t>
      </w:r>
      <w:r>
        <w:rPr>
          <w:rFonts w:hint="default" w:ascii="Times New Roman" w:hAnsi="Times New Roman" w:eastAsia="仿宋_GB2312" w:cs="Times New Roman"/>
          <w:sz w:val="32"/>
          <w:szCs w:val="32"/>
          <w:lang w:val="en-US" w:eastAsia="zh-CN"/>
        </w:rPr>
        <w:t>建设内容主要为河道治理、水生态环境建设等主要内容。规划建设内容完成后可改善莱山区供水保障能力，提高河道防洪减灾能力，改善水生态环境，提高居民幸福指数。</w:t>
      </w:r>
      <w:r>
        <w:rPr>
          <w:rFonts w:hint="default" w:ascii="Times New Roman" w:hAnsi="Times New Roman" w:eastAsia="仿宋_GB2312" w:cs="Times New Roman"/>
          <w:sz w:val="32"/>
          <w:szCs w:val="32"/>
        </w:rPr>
        <w:t>所以就项目而言对引发失业率的机率极低，但在项目建设过程中是否有涉及</w:t>
      </w:r>
      <w:r>
        <w:rPr>
          <w:rFonts w:hint="default" w:ascii="Times New Roman" w:hAnsi="Times New Roman" w:eastAsia="仿宋_GB2312" w:cs="Times New Roman"/>
          <w:sz w:val="32"/>
          <w:szCs w:val="32"/>
          <w:lang w:val="en-US" w:eastAsia="zh-CN"/>
        </w:rPr>
        <w:t>移民迁站</w:t>
      </w:r>
      <w:r>
        <w:rPr>
          <w:rFonts w:hint="default" w:ascii="Times New Roman" w:hAnsi="Times New Roman" w:eastAsia="仿宋_GB2312" w:cs="Times New Roman"/>
          <w:sz w:val="32"/>
          <w:szCs w:val="32"/>
        </w:rPr>
        <w:t>引发的社会就业问题需要注意并合理解决。</w:t>
      </w:r>
    </w:p>
    <w:p w14:paraId="4073F4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分析认为采取风险防范、化解措施后，风险发生概率较小，风险影响程度较小。</w:t>
      </w:r>
    </w:p>
    <w:p w14:paraId="010298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分析认为采风险影响程度无。</w:t>
      </w:r>
    </w:p>
    <w:p w14:paraId="7BA5EE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是否导致新的收入分配不公、贫富差距加大</w:t>
      </w:r>
    </w:p>
    <w:p w14:paraId="63D6F1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本规划建设内容主要为供水保障、河道治理及水生态环境建设等内容，规划建设完成后基本不会新增新的就业岗位以及产生直接经济效益。项目建成后对莱山区供水保障、行洪安全及生态环境有着较大的提升。通过改善了人居环境，可简介吸引外来企业、人才，扩大莱山区经济发展潜力，间接增加就业岗位，缩小居民收入差距。</w:t>
      </w:r>
      <w:r>
        <w:rPr>
          <w:rFonts w:hint="default" w:ascii="Times New Roman" w:hAnsi="Times New Roman" w:eastAsia="仿宋_GB2312" w:cs="Times New Roman"/>
          <w:sz w:val="32"/>
          <w:szCs w:val="32"/>
        </w:rPr>
        <w:t>虽说本项目</w:t>
      </w:r>
      <w:r>
        <w:rPr>
          <w:rFonts w:hint="default" w:ascii="Times New Roman" w:hAnsi="Times New Roman" w:eastAsia="仿宋_GB2312" w:cs="Times New Roman"/>
          <w:sz w:val="32"/>
          <w:szCs w:val="32"/>
          <w:lang w:val="en-US" w:eastAsia="zh-CN"/>
        </w:rPr>
        <w:t>可能间接增加</w:t>
      </w:r>
      <w:r>
        <w:rPr>
          <w:rFonts w:hint="default" w:ascii="Times New Roman" w:hAnsi="Times New Roman" w:eastAsia="仿宋_GB2312" w:cs="Times New Roman"/>
          <w:sz w:val="32"/>
          <w:szCs w:val="32"/>
        </w:rPr>
        <w:t>就业率，但是在项目的时间跨度大，对社会上的民营小企业的影响也是需要考虑。因此，应有周全的对策应付。</w:t>
      </w:r>
    </w:p>
    <w:p w14:paraId="790A7B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分析认为采取风险防范、化解措施后，风险发生概率较低，风险影响程度较小。</w:t>
      </w:r>
    </w:p>
    <w:p w14:paraId="0B76C8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政府监管水平</w:t>
      </w:r>
    </w:p>
    <w:p w14:paraId="2C9BA4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县级以上地方各级人民政府</w:t>
      </w:r>
      <w:r>
        <w:rPr>
          <w:rFonts w:hint="default" w:ascii="Times New Roman" w:hAnsi="Times New Roman" w:eastAsia="仿宋_GB2312" w:cs="Times New Roman"/>
          <w:sz w:val="32"/>
          <w:szCs w:val="32"/>
          <w:lang w:val="en-US" w:eastAsia="zh-CN"/>
        </w:rPr>
        <w:t>水行政主管部门</w:t>
      </w:r>
      <w:r>
        <w:rPr>
          <w:rFonts w:hint="default" w:ascii="Times New Roman" w:hAnsi="Times New Roman" w:eastAsia="仿宋_GB2312" w:cs="Times New Roman"/>
          <w:sz w:val="32"/>
          <w:szCs w:val="32"/>
        </w:rPr>
        <w:t>主管本行政区域内的</w:t>
      </w:r>
      <w:r>
        <w:rPr>
          <w:rFonts w:hint="default" w:ascii="Times New Roman" w:hAnsi="Times New Roman" w:eastAsia="仿宋_GB2312" w:cs="Times New Roman"/>
          <w:sz w:val="32"/>
          <w:szCs w:val="32"/>
          <w:lang w:val="en-US" w:eastAsia="zh-CN"/>
        </w:rPr>
        <w:t>水资源调配及防洪</w:t>
      </w:r>
      <w:r>
        <w:rPr>
          <w:rFonts w:hint="default" w:ascii="Times New Roman" w:hAnsi="Times New Roman" w:eastAsia="仿宋_GB2312" w:cs="Times New Roman"/>
          <w:sz w:val="32"/>
          <w:szCs w:val="32"/>
        </w:rPr>
        <w:t>工作。政府部门要实现依法、有效监管，</w:t>
      </w:r>
      <w:r>
        <w:rPr>
          <w:rFonts w:hint="default" w:ascii="Times New Roman" w:hAnsi="Times New Roman" w:eastAsia="仿宋_GB2312" w:cs="Times New Roman"/>
          <w:sz w:val="32"/>
          <w:szCs w:val="32"/>
          <w:lang w:val="en-US" w:eastAsia="zh-CN"/>
        </w:rPr>
        <w:t>需</w:t>
      </w:r>
      <w:r>
        <w:rPr>
          <w:rFonts w:hint="default" w:ascii="Times New Roman" w:hAnsi="Times New Roman" w:eastAsia="仿宋_GB2312" w:cs="Times New Roman"/>
          <w:sz w:val="32"/>
          <w:szCs w:val="32"/>
        </w:rPr>
        <w:t>树立监管意识，实施主动监管;创新监管方式，完善监管制度，严把准入，加强日常监管，完善退出机制;加强监管力量，建立协调机制，建立行政执法责任制，落实监管责任。</w:t>
      </w:r>
    </w:p>
    <w:p w14:paraId="6315B8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分析认为采取风险防范、化解措施后，风险发生概率较低，风险影响程度中等。</w:t>
      </w:r>
    </w:p>
    <w:p w14:paraId="26086E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舆论宣传引导、网络打防管控能力及对负面舆论、恶意炒作应对能力</w:t>
      </w:r>
    </w:p>
    <w:p w14:paraId="5A4AE8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社会公众的直观判断，容易受到社会舆论的影响。对于信息的真实性和有效性，公众往往根据现有的知识经验，从直观上去判断和理解。任何负面信息会在各种媒体上爆炸式迅速传播，引发公众不必要的误解。此外，由于目前网络媒体的发达，新闻事件的传播速度广泛而迅速，以及部分媒体报道不顾新闻的真实性和权威性，往往为吸引公众注意力、迎合公众口味，提高媒体知名度，故意歪曲或者倾向性的报道，而政府相关部门及企业的不透明，更加剧了公众对公开报道的相关信息的怀疑及否定，由此可能引发社会稳定风险。</w:t>
      </w:r>
    </w:p>
    <w:p w14:paraId="2BB30B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分析认为采取风险防范、化解措施后，风险发生概率很低，风险影响程度较小。</w:t>
      </w:r>
    </w:p>
    <w:p w14:paraId="537473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.政府各职能部门信息沟通渠道是否畅通</w:t>
      </w:r>
    </w:p>
    <w:p w14:paraId="770255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国政府纵向体系沟通相对容易，横向协调却相对困难，明显存在各职能部门之间协调不足，层次繁多，信息传递缓慢等问题。据统计，政府机关绩效相对较差，70%是来自横向矛盾，主要原因是部门责权不清，碰到交叉的工作，相互都不主动配合，甚至还处处设障，相互推委责任。其次，不恰当的激励政策也会因不公正或不能平衡公众利益而引发争端和分歧。同时，由于机构层级多，信息传递过程失真扭曲的现象时有发生，导致一些问题不易被上级相关机构发现。本决策准备和实施过程需要多个职能部门的协同推进，如果各职能部门信息沟通渠道的畅通度不足，将导致决策失效。目前在职能部门对数字经济的监管上就存在边界不清的问题，相关部门认识不统一、职能不明确，极易形成各自为政、监管重复或监管真空等问题，这将对下一步的《规划》实施产生重大影响。</w:t>
      </w:r>
    </w:p>
    <w:p w14:paraId="2B5930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分析认为采取风险防范、化解措施后，风险发生概率较低，风险影响程度较小。</w:t>
      </w:r>
    </w:p>
    <w:p w14:paraId="38AD323E">
      <w:pPr>
        <w:spacing w:line="360" w:lineRule="auto"/>
        <w:jc w:val="center"/>
        <w:rPr>
          <w:rFonts w:hint="eastAsia" w:ascii="仿宋" w:hAnsi="仿宋" w:eastAsia="仿宋" w:cs="仿宋"/>
          <w:sz w:val="24"/>
          <w:szCs w:val="28"/>
        </w:rPr>
      </w:pPr>
      <w:r>
        <w:rPr>
          <w:rFonts w:hint="eastAsia" w:ascii="仿宋" w:hAnsi="仿宋" w:eastAsia="仿宋" w:cs="仿宋"/>
          <w:sz w:val="24"/>
          <w:szCs w:val="28"/>
        </w:rPr>
        <w:t>表-4《规划》主要风险因素及风险程度表</w:t>
      </w:r>
    </w:p>
    <w:tbl>
      <w:tblPr>
        <w:tblStyle w:val="11"/>
        <w:tblW w:w="8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395"/>
        <w:gridCol w:w="3525"/>
        <w:gridCol w:w="900"/>
        <w:gridCol w:w="900"/>
        <w:gridCol w:w="906"/>
      </w:tblGrid>
      <w:tr w14:paraId="747D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02" w:type="dxa"/>
            <w:tcBorders>
              <w:bottom w:val="single" w:color="000000" w:sz="4" w:space="0"/>
              <w:right w:val="single" w:color="000000" w:sz="4" w:space="0"/>
              <w:tl2br w:val="nil"/>
              <w:tr2bl w:val="nil"/>
            </w:tcBorders>
            <w:vAlign w:val="center"/>
          </w:tcPr>
          <w:p w14:paraId="5C80DB7D">
            <w:pPr>
              <w:jc w:val="center"/>
              <w:rPr>
                <w:rFonts w:hint="eastAsia" w:ascii="仿宋" w:hAnsi="仿宋" w:eastAsia="仿宋" w:cs="仿宋"/>
                <w:sz w:val="21"/>
                <w:szCs w:val="21"/>
              </w:rPr>
            </w:pPr>
            <w:r>
              <w:rPr>
                <w:rFonts w:hint="eastAsia" w:ascii="仿宋" w:hAnsi="仿宋" w:eastAsia="仿宋" w:cs="仿宋"/>
                <w:sz w:val="21"/>
                <w:szCs w:val="21"/>
              </w:rPr>
              <w:t>序号</w:t>
            </w:r>
          </w:p>
        </w:tc>
        <w:tc>
          <w:tcPr>
            <w:tcW w:w="1395" w:type="dxa"/>
            <w:tcBorders>
              <w:left w:val="single" w:color="000000" w:sz="4" w:space="0"/>
              <w:bottom w:val="single" w:color="000000" w:sz="4" w:space="0"/>
              <w:tl2br w:val="nil"/>
              <w:tr2bl w:val="nil"/>
            </w:tcBorders>
            <w:vAlign w:val="center"/>
          </w:tcPr>
          <w:p w14:paraId="0FE2A197">
            <w:pPr>
              <w:jc w:val="center"/>
              <w:rPr>
                <w:rFonts w:hint="eastAsia" w:ascii="仿宋" w:hAnsi="仿宋" w:eastAsia="仿宋" w:cs="仿宋"/>
                <w:sz w:val="21"/>
                <w:szCs w:val="21"/>
              </w:rPr>
            </w:pPr>
            <w:r>
              <w:rPr>
                <w:rFonts w:hint="eastAsia" w:ascii="仿宋" w:hAnsi="仿宋" w:eastAsia="仿宋" w:cs="仿宋"/>
                <w:sz w:val="21"/>
                <w:szCs w:val="21"/>
              </w:rPr>
              <w:t>风险类型</w:t>
            </w:r>
          </w:p>
        </w:tc>
        <w:tc>
          <w:tcPr>
            <w:tcW w:w="3525" w:type="dxa"/>
            <w:tcBorders>
              <w:bottom w:val="single" w:color="000000" w:sz="4" w:space="0"/>
              <w:right w:val="single" w:color="000000" w:sz="4" w:space="0"/>
              <w:tl2br w:val="nil"/>
              <w:tr2bl w:val="nil"/>
            </w:tcBorders>
            <w:vAlign w:val="center"/>
          </w:tcPr>
          <w:p w14:paraId="20C14B27">
            <w:pPr>
              <w:jc w:val="center"/>
              <w:rPr>
                <w:rFonts w:hint="eastAsia" w:ascii="仿宋" w:hAnsi="仿宋" w:eastAsia="仿宋" w:cs="仿宋"/>
                <w:sz w:val="21"/>
                <w:szCs w:val="21"/>
              </w:rPr>
            </w:pPr>
            <w:r>
              <w:rPr>
                <w:rFonts w:hint="eastAsia" w:ascii="仿宋" w:hAnsi="仿宋" w:eastAsia="仿宋" w:cs="仿宋"/>
                <w:sz w:val="21"/>
                <w:szCs w:val="21"/>
              </w:rPr>
              <w:t>风险因素</w:t>
            </w:r>
          </w:p>
        </w:tc>
        <w:tc>
          <w:tcPr>
            <w:tcW w:w="900" w:type="dxa"/>
            <w:tcBorders>
              <w:left w:val="single" w:color="000000" w:sz="4" w:space="0"/>
              <w:bottom w:val="single" w:color="000000" w:sz="4" w:space="0"/>
              <w:right w:val="single" w:color="000000" w:sz="4" w:space="0"/>
              <w:tl2br w:val="nil"/>
              <w:tr2bl w:val="nil"/>
            </w:tcBorders>
          </w:tcPr>
          <w:p w14:paraId="21D586ED">
            <w:pPr>
              <w:jc w:val="center"/>
              <w:rPr>
                <w:rFonts w:hint="eastAsia" w:ascii="仿宋" w:hAnsi="仿宋" w:eastAsia="仿宋" w:cs="仿宋"/>
                <w:sz w:val="21"/>
                <w:szCs w:val="21"/>
              </w:rPr>
            </w:pPr>
            <w:r>
              <w:rPr>
                <w:rFonts w:hint="eastAsia" w:ascii="仿宋" w:hAnsi="仿宋" w:eastAsia="仿宋" w:cs="仿宋"/>
                <w:sz w:val="21"/>
                <w:szCs w:val="21"/>
              </w:rPr>
              <w:t>风险</w:t>
            </w:r>
          </w:p>
          <w:p w14:paraId="2C2A14E4">
            <w:pPr>
              <w:jc w:val="center"/>
              <w:rPr>
                <w:rFonts w:hint="eastAsia" w:ascii="仿宋" w:hAnsi="仿宋" w:eastAsia="仿宋" w:cs="仿宋"/>
                <w:sz w:val="21"/>
                <w:szCs w:val="21"/>
              </w:rPr>
            </w:pPr>
            <w:r>
              <w:rPr>
                <w:rFonts w:hint="eastAsia" w:ascii="仿宋" w:hAnsi="仿宋" w:eastAsia="仿宋" w:cs="仿宋"/>
                <w:sz w:val="21"/>
                <w:szCs w:val="21"/>
              </w:rPr>
              <w:t>概率</w:t>
            </w:r>
          </w:p>
        </w:tc>
        <w:tc>
          <w:tcPr>
            <w:tcW w:w="900" w:type="dxa"/>
            <w:tcBorders>
              <w:left w:val="single" w:color="000000" w:sz="4" w:space="0"/>
              <w:bottom w:val="single" w:color="000000" w:sz="4" w:space="0"/>
              <w:right w:val="single" w:color="000000" w:sz="4" w:space="0"/>
              <w:tl2br w:val="nil"/>
              <w:tr2bl w:val="nil"/>
            </w:tcBorders>
          </w:tcPr>
          <w:p w14:paraId="60CA112F">
            <w:pPr>
              <w:jc w:val="center"/>
              <w:rPr>
                <w:rFonts w:hint="eastAsia" w:ascii="仿宋" w:hAnsi="仿宋" w:eastAsia="仿宋" w:cs="仿宋"/>
                <w:sz w:val="21"/>
                <w:szCs w:val="21"/>
              </w:rPr>
            </w:pPr>
            <w:r>
              <w:rPr>
                <w:rFonts w:hint="eastAsia" w:ascii="仿宋" w:hAnsi="仿宋" w:eastAsia="仿宋" w:cs="仿宋"/>
                <w:sz w:val="21"/>
                <w:szCs w:val="21"/>
              </w:rPr>
              <w:t>影响</w:t>
            </w:r>
          </w:p>
          <w:p w14:paraId="36C1D219">
            <w:pPr>
              <w:jc w:val="center"/>
              <w:rPr>
                <w:rFonts w:hint="eastAsia" w:ascii="仿宋" w:hAnsi="仿宋" w:eastAsia="仿宋" w:cs="仿宋"/>
                <w:sz w:val="21"/>
                <w:szCs w:val="21"/>
              </w:rPr>
            </w:pPr>
            <w:r>
              <w:rPr>
                <w:rFonts w:hint="eastAsia" w:ascii="仿宋" w:hAnsi="仿宋" w:eastAsia="仿宋" w:cs="仿宋"/>
                <w:sz w:val="21"/>
                <w:szCs w:val="21"/>
              </w:rPr>
              <w:t>程度</w:t>
            </w:r>
          </w:p>
        </w:tc>
        <w:tc>
          <w:tcPr>
            <w:tcW w:w="906" w:type="dxa"/>
            <w:tcBorders>
              <w:left w:val="single" w:color="000000" w:sz="4" w:space="0"/>
              <w:bottom w:val="single" w:color="000000" w:sz="4" w:space="0"/>
              <w:tl2br w:val="nil"/>
              <w:tr2bl w:val="nil"/>
            </w:tcBorders>
          </w:tcPr>
          <w:p w14:paraId="6AEEDACE">
            <w:pPr>
              <w:jc w:val="center"/>
              <w:rPr>
                <w:rFonts w:hint="eastAsia" w:ascii="仿宋" w:hAnsi="仿宋" w:eastAsia="仿宋" w:cs="仿宋"/>
                <w:sz w:val="21"/>
                <w:szCs w:val="21"/>
              </w:rPr>
            </w:pPr>
            <w:r>
              <w:rPr>
                <w:rFonts w:hint="eastAsia" w:ascii="仿宋" w:hAnsi="仿宋" w:eastAsia="仿宋" w:cs="仿宋"/>
                <w:sz w:val="21"/>
                <w:szCs w:val="21"/>
              </w:rPr>
              <w:t>风险</w:t>
            </w:r>
          </w:p>
          <w:p w14:paraId="232FA56C">
            <w:pPr>
              <w:jc w:val="center"/>
              <w:rPr>
                <w:rFonts w:hint="eastAsia" w:ascii="仿宋" w:hAnsi="仿宋" w:eastAsia="仿宋" w:cs="仿宋"/>
                <w:sz w:val="21"/>
                <w:szCs w:val="21"/>
              </w:rPr>
            </w:pPr>
            <w:r>
              <w:rPr>
                <w:rFonts w:hint="eastAsia" w:ascii="仿宋" w:hAnsi="仿宋" w:eastAsia="仿宋" w:cs="仿宋"/>
                <w:sz w:val="21"/>
                <w:szCs w:val="21"/>
              </w:rPr>
              <w:t>程度</w:t>
            </w:r>
          </w:p>
        </w:tc>
      </w:tr>
      <w:tr w14:paraId="6E67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02" w:type="dxa"/>
            <w:tcBorders>
              <w:top w:val="single" w:color="000000" w:sz="4" w:space="0"/>
              <w:right w:val="single" w:color="000000" w:sz="4" w:space="0"/>
              <w:tl2br w:val="nil"/>
              <w:tr2bl w:val="nil"/>
            </w:tcBorders>
            <w:vAlign w:val="center"/>
          </w:tcPr>
          <w:p w14:paraId="768E0407">
            <w:pPr>
              <w:jc w:val="center"/>
              <w:rPr>
                <w:rFonts w:hint="eastAsia" w:ascii="仿宋" w:hAnsi="仿宋" w:eastAsia="仿宋" w:cs="仿宋"/>
                <w:sz w:val="21"/>
                <w:szCs w:val="21"/>
              </w:rPr>
            </w:pPr>
            <w:r>
              <w:rPr>
                <w:rFonts w:hint="eastAsia" w:ascii="仿宋" w:hAnsi="仿宋" w:eastAsia="仿宋" w:cs="仿宋"/>
                <w:sz w:val="21"/>
                <w:szCs w:val="21"/>
              </w:rPr>
              <w:t>1</w:t>
            </w:r>
          </w:p>
        </w:tc>
        <w:tc>
          <w:tcPr>
            <w:tcW w:w="1395" w:type="dxa"/>
            <w:tcBorders>
              <w:top w:val="single" w:color="000000" w:sz="4" w:space="0"/>
              <w:left w:val="single" w:color="000000" w:sz="4" w:space="0"/>
              <w:tl2br w:val="nil"/>
              <w:tr2bl w:val="nil"/>
            </w:tcBorders>
            <w:vAlign w:val="center"/>
          </w:tcPr>
          <w:p w14:paraId="66819D7C">
            <w:pPr>
              <w:jc w:val="center"/>
              <w:rPr>
                <w:rFonts w:hint="eastAsia" w:ascii="仿宋" w:hAnsi="仿宋" w:eastAsia="仿宋" w:cs="仿宋"/>
                <w:sz w:val="21"/>
                <w:szCs w:val="21"/>
              </w:rPr>
            </w:pPr>
            <w:r>
              <w:rPr>
                <w:rFonts w:hint="eastAsia" w:ascii="仿宋" w:hAnsi="仿宋" w:eastAsia="仿宋" w:cs="仿宋"/>
                <w:sz w:val="21"/>
                <w:szCs w:val="21"/>
              </w:rPr>
              <w:t>决策合法性</w:t>
            </w:r>
          </w:p>
        </w:tc>
        <w:tc>
          <w:tcPr>
            <w:tcW w:w="3525" w:type="dxa"/>
            <w:tcBorders>
              <w:top w:val="single" w:color="000000" w:sz="4" w:space="0"/>
              <w:right w:val="single" w:color="000000" w:sz="4" w:space="0"/>
              <w:tl2br w:val="nil"/>
              <w:tr2bl w:val="nil"/>
            </w:tcBorders>
          </w:tcPr>
          <w:p w14:paraId="43933352">
            <w:pPr>
              <w:rPr>
                <w:rFonts w:hint="eastAsia" w:ascii="仿宋" w:hAnsi="仿宋" w:eastAsia="仿宋" w:cs="仿宋"/>
                <w:sz w:val="21"/>
                <w:szCs w:val="21"/>
              </w:rPr>
            </w:pPr>
            <w:r>
              <w:rPr>
                <w:rFonts w:hint="eastAsia" w:ascii="仿宋" w:hAnsi="仿宋" w:eastAsia="仿宋" w:cs="仿宋"/>
                <w:sz w:val="21"/>
                <w:szCs w:val="21"/>
              </w:rPr>
              <w:t>听证、公示等公众参与程序是否合法</w:t>
            </w:r>
          </w:p>
        </w:tc>
        <w:tc>
          <w:tcPr>
            <w:tcW w:w="900" w:type="dxa"/>
            <w:tcBorders>
              <w:top w:val="single" w:color="000000" w:sz="4" w:space="0"/>
              <w:left w:val="single" w:color="000000" w:sz="4" w:space="0"/>
              <w:right w:val="single" w:color="000000" w:sz="4" w:space="0"/>
              <w:tl2br w:val="nil"/>
              <w:tr2bl w:val="nil"/>
            </w:tcBorders>
            <w:vAlign w:val="center"/>
          </w:tcPr>
          <w:p w14:paraId="7B94699D">
            <w:pPr>
              <w:jc w:val="center"/>
              <w:rPr>
                <w:rFonts w:hint="eastAsia" w:ascii="仿宋" w:hAnsi="仿宋" w:eastAsia="仿宋" w:cs="仿宋"/>
                <w:sz w:val="21"/>
                <w:szCs w:val="21"/>
              </w:rPr>
            </w:pPr>
            <w:r>
              <w:rPr>
                <w:rFonts w:hint="eastAsia" w:ascii="仿宋" w:hAnsi="仿宋" w:eastAsia="仿宋" w:cs="仿宋"/>
                <w:sz w:val="21"/>
                <w:szCs w:val="21"/>
              </w:rPr>
              <w:t>很低</w:t>
            </w:r>
          </w:p>
        </w:tc>
        <w:tc>
          <w:tcPr>
            <w:tcW w:w="900" w:type="dxa"/>
            <w:tcBorders>
              <w:top w:val="single" w:color="000000" w:sz="4" w:space="0"/>
              <w:left w:val="single" w:color="000000" w:sz="4" w:space="0"/>
              <w:right w:val="single" w:color="000000" w:sz="4" w:space="0"/>
              <w:tl2br w:val="nil"/>
              <w:tr2bl w:val="nil"/>
            </w:tcBorders>
            <w:vAlign w:val="center"/>
          </w:tcPr>
          <w:p w14:paraId="081F7E25">
            <w:pPr>
              <w:jc w:val="center"/>
              <w:rPr>
                <w:rFonts w:hint="eastAsia" w:ascii="仿宋" w:hAnsi="仿宋" w:eastAsia="仿宋" w:cs="仿宋"/>
                <w:sz w:val="21"/>
                <w:szCs w:val="21"/>
              </w:rPr>
            </w:pPr>
            <w:r>
              <w:rPr>
                <w:rFonts w:hint="eastAsia" w:ascii="仿宋" w:hAnsi="仿宋" w:eastAsia="仿宋" w:cs="仿宋"/>
                <w:sz w:val="21"/>
                <w:szCs w:val="21"/>
              </w:rPr>
              <w:t>较小</w:t>
            </w:r>
          </w:p>
        </w:tc>
        <w:tc>
          <w:tcPr>
            <w:tcW w:w="906" w:type="dxa"/>
            <w:tcBorders>
              <w:top w:val="single" w:color="000000" w:sz="4" w:space="0"/>
              <w:left w:val="single" w:color="000000" w:sz="4" w:space="0"/>
              <w:tl2br w:val="nil"/>
              <w:tr2bl w:val="nil"/>
            </w:tcBorders>
            <w:vAlign w:val="center"/>
          </w:tcPr>
          <w:p w14:paraId="34286676">
            <w:pPr>
              <w:jc w:val="center"/>
              <w:rPr>
                <w:rFonts w:hint="eastAsia" w:ascii="仿宋" w:hAnsi="仿宋" w:eastAsia="仿宋" w:cs="仿宋"/>
                <w:sz w:val="21"/>
                <w:szCs w:val="21"/>
              </w:rPr>
            </w:pPr>
            <w:r>
              <w:rPr>
                <w:rFonts w:hint="eastAsia" w:ascii="仿宋" w:hAnsi="仿宋" w:eastAsia="仿宋" w:cs="仿宋"/>
                <w:sz w:val="21"/>
                <w:szCs w:val="21"/>
              </w:rPr>
              <w:t>较小</w:t>
            </w:r>
          </w:p>
        </w:tc>
      </w:tr>
      <w:tr w14:paraId="4CD4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02" w:type="dxa"/>
            <w:vMerge w:val="restart"/>
            <w:tcBorders>
              <w:right w:val="single" w:color="000000" w:sz="4" w:space="0"/>
              <w:tl2br w:val="nil"/>
              <w:tr2bl w:val="nil"/>
            </w:tcBorders>
            <w:vAlign w:val="center"/>
          </w:tcPr>
          <w:p w14:paraId="5D018D3D">
            <w:pPr>
              <w:jc w:val="center"/>
              <w:rPr>
                <w:rFonts w:hint="eastAsia" w:ascii="仿宋" w:hAnsi="仿宋" w:eastAsia="仿宋" w:cs="仿宋"/>
                <w:sz w:val="21"/>
                <w:szCs w:val="21"/>
              </w:rPr>
            </w:pPr>
            <w:r>
              <w:rPr>
                <w:rFonts w:hint="eastAsia" w:ascii="仿宋" w:hAnsi="仿宋" w:eastAsia="仿宋" w:cs="仿宋"/>
                <w:sz w:val="21"/>
                <w:szCs w:val="21"/>
              </w:rPr>
              <w:t>2</w:t>
            </w:r>
          </w:p>
        </w:tc>
        <w:tc>
          <w:tcPr>
            <w:tcW w:w="1395" w:type="dxa"/>
            <w:tcBorders>
              <w:left w:val="single" w:color="000000" w:sz="4" w:space="0"/>
              <w:bottom w:val="single" w:color="000000" w:sz="4" w:space="0"/>
              <w:tl2br w:val="nil"/>
              <w:tr2bl w:val="nil"/>
            </w:tcBorders>
            <w:vAlign w:val="center"/>
          </w:tcPr>
          <w:p w14:paraId="51EDA956">
            <w:pPr>
              <w:jc w:val="center"/>
              <w:rPr>
                <w:rFonts w:hint="eastAsia" w:ascii="仿宋" w:hAnsi="仿宋" w:eastAsia="仿宋" w:cs="仿宋"/>
                <w:sz w:val="21"/>
                <w:szCs w:val="21"/>
              </w:rPr>
            </w:pPr>
            <w:r>
              <w:rPr>
                <w:rFonts w:hint="eastAsia" w:ascii="仿宋" w:hAnsi="仿宋" w:eastAsia="仿宋" w:cs="仿宋"/>
                <w:sz w:val="21"/>
                <w:szCs w:val="21"/>
              </w:rPr>
              <w:t>决策合理性</w:t>
            </w:r>
          </w:p>
        </w:tc>
        <w:tc>
          <w:tcPr>
            <w:tcW w:w="3525" w:type="dxa"/>
            <w:tcBorders>
              <w:bottom w:val="single" w:color="000000" w:sz="4" w:space="0"/>
              <w:right w:val="single" w:color="000000" w:sz="4" w:space="0"/>
              <w:tl2br w:val="nil"/>
              <w:tr2bl w:val="nil"/>
            </w:tcBorders>
          </w:tcPr>
          <w:p w14:paraId="75CB1619">
            <w:pPr>
              <w:rPr>
                <w:rFonts w:hint="eastAsia" w:ascii="仿宋" w:hAnsi="仿宋" w:eastAsia="仿宋" w:cs="仿宋"/>
                <w:sz w:val="21"/>
                <w:szCs w:val="21"/>
              </w:rPr>
            </w:pPr>
            <w:r>
              <w:rPr>
                <w:rFonts w:hint="eastAsia" w:ascii="仿宋" w:hAnsi="仿宋" w:eastAsia="仿宋" w:cs="仿宋"/>
                <w:sz w:val="21"/>
                <w:szCs w:val="21"/>
              </w:rPr>
              <w:t>决策的其他外部影响是否会引发社会矛盾和冲突</w:t>
            </w:r>
          </w:p>
        </w:tc>
        <w:tc>
          <w:tcPr>
            <w:tcW w:w="900" w:type="dxa"/>
            <w:tcBorders>
              <w:left w:val="single" w:color="000000" w:sz="4" w:space="0"/>
              <w:bottom w:val="single" w:color="000000" w:sz="4" w:space="0"/>
              <w:right w:val="single" w:color="000000" w:sz="4" w:space="0"/>
              <w:tl2br w:val="nil"/>
              <w:tr2bl w:val="nil"/>
            </w:tcBorders>
            <w:vAlign w:val="center"/>
          </w:tcPr>
          <w:p w14:paraId="7ADDEEB4">
            <w:pPr>
              <w:jc w:val="center"/>
              <w:rPr>
                <w:rFonts w:hint="eastAsia" w:ascii="仿宋" w:hAnsi="仿宋" w:eastAsia="仿宋" w:cs="仿宋"/>
                <w:sz w:val="21"/>
                <w:szCs w:val="21"/>
              </w:rPr>
            </w:pPr>
            <w:r>
              <w:rPr>
                <w:rFonts w:hint="eastAsia" w:ascii="仿宋" w:hAnsi="仿宋" w:eastAsia="仿宋" w:cs="仿宋"/>
                <w:sz w:val="21"/>
                <w:szCs w:val="21"/>
              </w:rPr>
              <w:t>较低</w:t>
            </w:r>
          </w:p>
        </w:tc>
        <w:tc>
          <w:tcPr>
            <w:tcW w:w="900" w:type="dxa"/>
            <w:tcBorders>
              <w:left w:val="single" w:color="000000" w:sz="4" w:space="0"/>
              <w:bottom w:val="single" w:color="000000" w:sz="4" w:space="0"/>
              <w:right w:val="single" w:color="000000" w:sz="4" w:space="0"/>
              <w:tl2br w:val="nil"/>
              <w:tr2bl w:val="nil"/>
            </w:tcBorders>
            <w:vAlign w:val="center"/>
          </w:tcPr>
          <w:p w14:paraId="20953B42">
            <w:pPr>
              <w:jc w:val="center"/>
              <w:rPr>
                <w:rFonts w:hint="eastAsia" w:ascii="仿宋" w:hAnsi="仿宋" w:eastAsia="仿宋" w:cs="仿宋"/>
                <w:sz w:val="21"/>
                <w:szCs w:val="21"/>
              </w:rPr>
            </w:pPr>
            <w:r>
              <w:rPr>
                <w:rFonts w:hint="eastAsia" w:ascii="仿宋" w:hAnsi="仿宋" w:eastAsia="仿宋" w:cs="仿宋"/>
                <w:sz w:val="21"/>
                <w:szCs w:val="21"/>
              </w:rPr>
              <w:t>中等</w:t>
            </w:r>
          </w:p>
        </w:tc>
        <w:tc>
          <w:tcPr>
            <w:tcW w:w="906" w:type="dxa"/>
            <w:tcBorders>
              <w:left w:val="single" w:color="000000" w:sz="4" w:space="0"/>
              <w:bottom w:val="single" w:color="000000" w:sz="4" w:space="0"/>
              <w:tl2br w:val="nil"/>
              <w:tr2bl w:val="nil"/>
            </w:tcBorders>
            <w:vAlign w:val="center"/>
          </w:tcPr>
          <w:p w14:paraId="39613C38">
            <w:pPr>
              <w:jc w:val="center"/>
              <w:rPr>
                <w:rFonts w:hint="eastAsia" w:ascii="仿宋" w:hAnsi="仿宋" w:eastAsia="仿宋" w:cs="仿宋"/>
                <w:sz w:val="21"/>
                <w:szCs w:val="21"/>
              </w:rPr>
            </w:pPr>
            <w:r>
              <w:rPr>
                <w:rFonts w:hint="eastAsia" w:ascii="仿宋" w:hAnsi="仿宋" w:eastAsia="仿宋" w:cs="仿宋"/>
                <w:sz w:val="21"/>
                <w:szCs w:val="21"/>
              </w:rPr>
              <w:t>较小</w:t>
            </w:r>
          </w:p>
        </w:tc>
      </w:tr>
      <w:tr w14:paraId="4338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502" w:type="dxa"/>
            <w:vMerge w:val="continue"/>
            <w:tcBorders>
              <w:right w:val="single" w:color="000000" w:sz="4" w:space="0"/>
              <w:tl2br w:val="nil"/>
              <w:tr2bl w:val="nil"/>
            </w:tcBorders>
            <w:vAlign w:val="center"/>
          </w:tcPr>
          <w:p w14:paraId="30C9DBE9">
            <w:pPr>
              <w:jc w:val="center"/>
              <w:rPr>
                <w:rFonts w:hint="eastAsia" w:ascii="仿宋" w:hAnsi="仿宋" w:eastAsia="仿宋" w:cs="仿宋"/>
                <w:sz w:val="21"/>
                <w:szCs w:val="21"/>
              </w:rPr>
            </w:pPr>
          </w:p>
        </w:tc>
        <w:tc>
          <w:tcPr>
            <w:tcW w:w="1395" w:type="dxa"/>
            <w:vMerge w:val="restart"/>
            <w:tcBorders>
              <w:top w:val="single" w:color="000000" w:sz="4" w:space="0"/>
              <w:left w:val="single" w:color="000000" w:sz="4" w:space="0"/>
              <w:tl2br w:val="nil"/>
              <w:tr2bl w:val="nil"/>
            </w:tcBorders>
            <w:vAlign w:val="center"/>
          </w:tcPr>
          <w:p w14:paraId="13354DAB">
            <w:pPr>
              <w:jc w:val="center"/>
              <w:rPr>
                <w:rFonts w:hint="eastAsia" w:ascii="仿宋" w:hAnsi="仿宋" w:eastAsia="仿宋" w:cs="仿宋"/>
                <w:sz w:val="21"/>
                <w:szCs w:val="21"/>
              </w:rPr>
            </w:pPr>
            <w:r>
              <w:rPr>
                <w:rFonts w:hint="eastAsia" w:ascii="仿宋" w:hAnsi="仿宋" w:eastAsia="仿宋" w:cs="仿宋"/>
                <w:sz w:val="21"/>
                <w:szCs w:val="21"/>
              </w:rPr>
              <w:t>决策可行性</w:t>
            </w:r>
          </w:p>
        </w:tc>
        <w:tc>
          <w:tcPr>
            <w:tcW w:w="3525" w:type="dxa"/>
            <w:tcBorders>
              <w:top w:val="single" w:color="000000" w:sz="4" w:space="0"/>
              <w:right w:val="single" w:color="000000" w:sz="4" w:space="0"/>
              <w:tl2br w:val="nil"/>
              <w:tr2bl w:val="nil"/>
            </w:tcBorders>
          </w:tcPr>
          <w:p w14:paraId="131B9627">
            <w:pPr>
              <w:rPr>
                <w:rFonts w:hint="eastAsia" w:ascii="仿宋" w:hAnsi="仿宋" w:eastAsia="仿宋" w:cs="仿宋"/>
                <w:sz w:val="21"/>
                <w:szCs w:val="21"/>
              </w:rPr>
            </w:pPr>
            <w:r>
              <w:rPr>
                <w:rFonts w:hint="eastAsia" w:ascii="仿宋" w:hAnsi="仿宋" w:eastAsia="仿宋" w:cs="仿宋"/>
                <w:sz w:val="21"/>
                <w:szCs w:val="21"/>
              </w:rPr>
              <w:t>是否充分考虑到时间、空间、人力、物力、财力等制约因素</w:t>
            </w:r>
          </w:p>
        </w:tc>
        <w:tc>
          <w:tcPr>
            <w:tcW w:w="900" w:type="dxa"/>
            <w:tcBorders>
              <w:top w:val="single" w:color="000000" w:sz="4" w:space="0"/>
              <w:left w:val="single" w:color="000000" w:sz="4" w:space="0"/>
              <w:right w:val="single" w:color="000000" w:sz="4" w:space="0"/>
              <w:tl2br w:val="nil"/>
              <w:tr2bl w:val="nil"/>
            </w:tcBorders>
            <w:vAlign w:val="center"/>
          </w:tcPr>
          <w:p w14:paraId="669D97F5">
            <w:pPr>
              <w:jc w:val="center"/>
              <w:rPr>
                <w:rFonts w:hint="eastAsia" w:ascii="仿宋" w:hAnsi="仿宋" w:eastAsia="仿宋" w:cs="仿宋"/>
                <w:sz w:val="21"/>
                <w:szCs w:val="21"/>
              </w:rPr>
            </w:pPr>
            <w:r>
              <w:rPr>
                <w:rFonts w:hint="eastAsia" w:ascii="仿宋" w:hAnsi="仿宋" w:eastAsia="仿宋" w:cs="仿宋"/>
                <w:sz w:val="21"/>
                <w:szCs w:val="21"/>
              </w:rPr>
              <w:t>较低</w:t>
            </w:r>
          </w:p>
        </w:tc>
        <w:tc>
          <w:tcPr>
            <w:tcW w:w="900" w:type="dxa"/>
            <w:tcBorders>
              <w:top w:val="single" w:color="000000" w:sz="4" w:space="0"/>
              <w:left w:val="single" w:color="000000" w:sz="4" w:space="0"/>
              <w:right w:val="single" w:color="000000" w:sz="4" w:space="0"/>
              <w:tl2br w:val="nil"/>
              <w:tr2bl w:val="nil"/>
            </w:tcBorders>
            <w:vAlign w:val="center"/>
          </w:tcPr>
          <w:p w14:paraId="17CB79E5">
            <w:pPr>
              <w:jc w:val="center"/>
              <w:rPr>
                <w:rFonts w:hint="eastAsia" w:ascii="仿宋" w:hAnsi="仿宋" w:eastAsia="仿宋" w:cs="仿宋"/>
                <w:sz w:val="21"/>
                <w:szCs w:val="21"/>
              </w:rPr>
            </w:pPr>
            <w:r>
              <w:rPr>
                <w:rFonts w:hint="eastAsia" w:ascii="仿宋" w:hAnsi="仿宋" w:eastAsia="仿宋" w:cs="仿宋"/>
                <w:sz w:val="21"/>
                <w:szCs w:val="21"/>
              </w:rPr>
              <w:t>中等</w:t>
            </w:r>
          </w:p>
        </w:tc>
        <w:tc>
          <w:tcPr>
            <w:tcW w:w="906" w:type="dxa"/>
            <w:tcBorders>
              <w:top w:val="single" w:color="000000" w:sz="4" w:space="0"/>
              <w:left w:val="single" w:color="000000" w:sz="4" w:space="0"/>
              <w:tl2br w:val="nil"/>
              <w:tr2bl w:val="nil"/>
            </w:tcBorders>
            <w:vAlign w:val="center"/>
          </w:tcPr>
          <w:p w14:paraId="2C84E006">
            <w:pPr>
              <w:jc w:val="center"/>
              <w:rPr>
                <w:rFonts w:hint="eastAsia" w:ascii="仿宋" w:hAnsi="仿宋" w:eastAsia="仿宋" w:cs="仿宋"/>
                <w:sz w:val="21"/>
                <w:szCs w:val="21"/>
              </w:rPr>
            </w:pPr>
            <w:r>
              <w:rPr>
                <w:rFonts w:hint="eastAsia" w:ascii="仿宋" w:hAnsi="仿宋" w:eastAsia="仿宋" w:cs="仿宋"/>
                <w:sz w:val="21"/>
                <w:szCs w:val="21"/>
              </w:rPr>
              <w:t>一般</w:t>
            </w:r>
          </w:p>
        </w:tc>
      </w:tr>
      <w:tr w14:paraId="3D3E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2" w:type="dxa"/>
            <w:tcBorders>
              <w:right w:val="single" w:color="000000" w:sz="4" w:space="0"/>
              <w:tl2br w:val="nil"/>
              <w:tr2bl w:val="nil"/>
            </w:tcBorders>
            <w:vAlign w:val="center"/>
          </w:tcPr>
          <w:p w14:paraId="0090F645">
            <w:pPr>
              <w:jc w:val="center"/>
              <w:rPr>
                <w:rFonts w:hint="eastAsia" w:ascii="仿宋" w:hAnsi="仿宋" w:eastAsia="仿宋" w:cs="仿宋"/>
                <w:sz w:val="21"/>
                <w:szCs w:val="21"/>
              </w:rPr>
            </w:pPr>
            <w:r>
              <w:rPr>
                <w:rFonts w:hint="eastAsia" w:ascii="仿宋" w:hAnsi="仿宋" w:eastAsia="仿宋" w:cs="仿宋"/>
                <w:sz w:val="21"/>
                <w:szCs w:val="21"/>
              </w:rPr>
              <w:t>3</w:t>
            </w:r>
          </w:p>
        </w:tc>
        <w:tc>
          <w:tcPr>
            <w:tcW w:w="1395" w:type="dxa"/>
            <w:vMerge w:val="continue"/>
            <w:tcBorders>
              <w:left w:val="single" w:color="000000" w:sz="4" w:space="0"/>
              <w:tl2br w:val="nil"/>
              <w:tr2bl w:val="nil"/>
            </w:tcBorders>
            <w:vAlign w:val="center"/>
          </w:tcPr>
          <w:p w14:paraId="2128B4BA">
            <w:pPr>
              <w:jc w:val="center"/>
              <w:rPr>
                <w:rFonts w:hint="eastAsia" w:ascii="仿宋" w:hAnsi="仿宋" w:eastAsia="仿宋" w:cs="仿宋"/>
                <w:sz w:val="21"/>
                <w:szCs w:val="21"/>
              </w:rPr>
            </w:pPr>
          </w:p>
        </w:tc>
        <w:tc>
          <w:tcPr>
            <w:tcW w:w="3525" w:type="dxa"/>
            <w:tcBorders>
              <w:right w:val="single" w:color="000000" w:sz="4" w:space="0"/>
              <w:tl2br w:val="nil"/>
              <w:tr2bl w:val="nil"/>
            </w:tcBorders>
          </w:tcPr>
          <w:p w14:paraId="37770C99">
            <w:pPr>
              <w:rPr>
                <w:rFonts w:hint="eastAsia" w:ascii="仿宋" w:hAnsi="仿宋" w:eastAsia="仿宋" w:cs="仿宋"/>
                <w:sz w:val="21"/>
                <w:szCs w:val="21"/>
              </w:rPr>
            </w:pPr>
            <w:r>
              <w:rPr>
                <w:rFonts w:hint="eastAsia" w:ascii="仿宋" w:hAnsi="仿宋" w:eastAsia="仿宋" w:cs="仿宋"/>
                <w:sz w:val="21"/>
                <w:szCs w:val="21"/>
              </w:rPr>
              <w:t>决策方案是否具体、详实，配套措施是否完善</w:t>
            </w:r>
          </w:p>
        </w:tc>
        <w:tc>
          <w:tcPr>
            <w:tcW w:w="900" w:type="dxa"/>
            <w:tcBorders>
              <w:left w:val="single" w:color="000000" w:sz="4" w:space="0"/>
              <w:right w:val="single" w:color="000000" w:sz="4" w:space="0"/>
              <w:tl2br w:val="nil"/>
              <w:tr2bl w:val="nil"/>
            </w:tcBorders>
            <w:vAlign w:val="center"/>
          </w:tcPr>
          <w:p w14:paraId="76BA7C02">
            <w:pPr>
              <w:jc w:val="center"/>
              <w:rPr>
                <w:rFonts w:hint="eastAsia" w:ascii="仿宋" w:hAnsi="仿宋" w:eastAsia="仿宋" w:cs="仿宋"/>
                <w:sz w:val="21"/>
                <w:szCs w:val="21"/>
              </w:rPr>
            </w:pPr>
            <w:r>
              <w:rPr>
                <w:rFonts w:hint="eastAsia" w:ascii="仿宋" w:hAnsi="仿宋" w:eastAsia="仿宋" w:cs="仿宋"/>
                <w:sz w:val="21"/>
                <w:szCs w:val="21"/>
              </w:rPr>
              <w:t>较低</w:t>
            </w:r>
          </w:p>
        </w:tc>
        <w:tc>
          <w:tcPr>
            <w:tcW w:w="900" w:type="dxa"/>
            <w:tcBorders>
              <w:left w:val="single" w:color="000000" w:sz="4" w:space="0"/>
              <w:right w:val="single" w:color="000000" w:sz="4" w:space="0"/>
              <w:tl2br w:val="nil"/>
              <w:tr2bl w:val="nil"/>
            </w:tcBorders>
            <w:vAlign w:val="center"/>
          </w:tcPr>
          <w:p w14:paraId="19A45A69">
            <w:pPr>
              <w:jc w:val="center"/>
              <w:rPr>
                <w:rFonts w:hint="eastAsia" w:ascii="仿宋" w:hAnsi="仿宋" w:eastAsia="仿宋" w:cs="仿宋"/>
                <w:sz w:val="21"/>
                <w:szCs w:val="21"/>
              </w:rPr>
            </w:pPr>
            <w:r>
              <w:rPr>
                <w:rFonts w:hint="eastAsia" w:ascii="仿宋" w:hAnsi="仿宋" w:eastAsia="仿宋" w:cs="仿宋"/>
                <w:sz w:val="21"/>
                <w:szCs w:val="21"/>
              </w:rPr>
              <w:t>较小</w:t>
            </w:r>
          </w:p>
        </w:tc>
        <w:tc>
          <w:tcPr>
            <w:tcW w:w="906" w:type="dxa"/>
            <w:tcBorders>
              <w:left w:val="single" w:color="000000" w:sz="4" w:space="0"/>
              <w:tl2br w:val="nil"/>
              <w:tr2bl w:val="nil"/>
            </w:tcBorders>
            <w:vAlign w:val="center"/>
          </w:tcPr>
          <w:p w14:paraId="084CEC4D">
            <w:pPr>
              <w:jc w:val="center"/>
              <w:rPr>
                <w:rFonts w:hint="eastAsia" w:ascii="仿宋" w:hAnsi="仿宋" w:eastAsia="仿宋" w:cs="仿宋"/>
                <w:sz w:val="21"/>
                <w:szCs w:val="21"/>
              </w:rPr>
            </w:pPr>
            <w:r>
              <w:rPr>
                <w:rFonts w:hint="eastAsia" w:ascii="仿宋" w:hAnsi="仿宋" w:eastAsia="仿宋" w:cs="仿宋"/>
                <w:sz w:val="21"/>
                <w:szCs w:val="21"/>
              </w:rPr>
              <w:t>较小</w:t>
            </w:r>
          </w:p>
        </w:tc>
      </w:tr>
      <w:tr w14:paraId="1CB3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right w:val="single" w:color="000000" w:sz="4" w:space="0"/>
              <w:tl2br w:val="nil"/>
              <w:tr2bl w:val="nil"/>
            </w:tcBorders>
            <w:vAlign w:val="center"/>
          </w:tcPr>
          <w:p w14:paraId="00D3BFC0">
            <w:pPr>
              <w:jc w:val="center"/>
              <w:rPr>
                <w:rFonts w:hint="eastAsia" w:ascii="仿宋" w:hAnsi="仿宋" w:eastAsia="仿宋" w:cs="仿宋"/>
                <w:sz w:val="21"/>
                <w:szCs w:val="21"/>
              </w:rPr>
            </w:pPr>
            <w:r>
              <w:rPr>
                <w:rFonts w:hint="eastAsia" w:ascii="仿宋" w:hAnsi="仿宋" w:eastAsia="仿宋" w:cs="仿宋"/>
                <w:sz w:val="21"/>
                <w:szCs w:val="21"/>
              </w:rPr>
              <w:t>4</w:t>
            </w:r>
          </w:p>
        </w:tc>
        <w:tc>
          <w:tcPr>
            <w:tcW w:w="1395" w:type="dxa"/>
            <w:vMerge w:val="restart"/>
            <w:tcBorders>
              <w:left w:val="single" w:color="000000" w:sz="4" w:space="0"/>
              <w:tl2br w:val="nil"/>
              <w:tr2bl w:val="nil"/>
            </w:tcBorders>
            <w:vAlign w:val="center"/>
          </w:tcPr>
          <w:p w14:paraId="0C4F1063">
            <w:pPr>
              <w:jc w:val="center"/>
              <w:rPr>
                <w:rFonts w:hint="eastAsia" w:ascii="仿宋" w:hAnsi="仿宋" w:eastAsia="仿宋" w:cs="仿宋"/>
                <w:sz w:val="21"/>
                <w:szCs w:val="21"/>
              </w:rPr>
            </w:pPr>
            <w:r>
              <w:rPr>
                <w:rFonts w:hint="eastAsia" w:ascii="仿宋" w:hAnsi="仿宋" w:eastAsia="仿宋" w:cs="仿宋"/>
                <w:sz w:val="21"/>
                <w:szCs w:val="21"/>
              </w:rPr>
              <w:t>公平性</w:t>
            </w:r>
          </w:p>
        </w:tc>
        <w:tc>
          <w:tcPr>
            <w:tcW w:w="3525" w:type="dxa"/>
            <w:tcBorders>
              <w:right w:val="single" w:color="000000" w:sz="4" w:space="0"/>
              <w:tl2br w:val="nil"/>
              <w:tr2bl w:val="nil"/>
            </w:tcBorders>
          </w:tcPr>
          <w:p w14:paraId="2EF2A8CB">
            <w:pPr>
              <w:rPr>
                <w:rFonts w:hint="eastAsia" w:ascii="仿宋" w:hAnsi="仿宋" w:eastAsia="仿宋" w:cs="仿宋"/>
                <w:sz w:val="21"/>
                <w:szCs w:val="21"/>
              </w:rPr>
            </w:pPr>
            <w:r>
              <w:rPr>
                <w:rFonts w:hint="eastAsia" w:ascii="仿宋" w:hAnsi="仿宋" w:eastAsia="仿宋" w:cs="仿宋"/>
                <w:sz w:val="21"/>
                <w:szCs w:val="21"/>
              </w:rPr>
              <w:t>是否引发失业率增加</w:t>
            </w:r>
          </w:p>
        </w:tc>
        <w:tc>
          <w:tcPr>
            <w:tcW w:w="900" w:type="dxa"/>
            <w:tcBorders>
              <w:left w:val="single" w:color="000000" w:sz="4" w:space="0"/>
              <w:right w:val="single" w:color="000000" w:sz="4" w:space="0"/>
              <w:tl2br w:val="nil"/>
              <w:tr2bl w:val="nil"/>
            </w:tcBorders>
            <w:vAlign w:val="center"/>
          </w:tcPr>
          <w:p w14:paraId="4E6E17F4">
            <w:pPr>
              <w:jc w:val="center"/>
              <w:rPr>
                <w:rFonts w:hint="eastAsia" w:ascii="仿宋" w:hAnsi="仿宋" w:eastAsia="仿宋" w:cs="仿宋"/>
                <w:sz w:val="21"/>
                <w:szCs w:val="21"/>
              </w:rPr>
            </w:pPr>
            <w:r>
              <w:rPr>
                <w:rFonts w:hint="eastAsia" w:ascii="仿宋" w:hAnsi="仿宋" w:eastAsia="仿宋" w:cs="仿宋"/>
                <w:sz w:val="21"/>
                <w:szCs w:val="21"/>
                <w:lang w:val="en-US" w:eastAsia="zh-CN"/>
              </w:rPr>
              <w:t>很</w:t>
            </w:r>
            <w:r>
              <w:rPr>
                <w:rFonts w:hint="eastAsia" w:ascii="仿宋" w:hAnsi="仿宋" w:eastAsia="仿宋" w:cs="仿宋"/>
                <w:sz w:val="21"/>
                <w:szCs w:val="21"/>
              </w:rPr>
              <w:t>低</w:t>
            </w:r>
          </w:p>
        </w:tc>
        <w:tc>
          <w:tcPr>
            <w:tcW w:w="900" w:type="dxa"/>
            <w:tcBorders>
              <w:left w:val="single" w:color="000000" w:sz="4" w:space="0"/>
              <w:right w:val="single" w:color="000000" w:sz="4" w:space="0"/>
              <w:tl2br w:val="nil"/>
              <w:tr2bl w:val="nil"/>
            </w:tcBorders>
            <w:vAlign w:val="center"/>
          </w:tcPr>
          <w:p w14:paraId="21EDA94A">
            <w:pPr>
              <w:jc w:val="center"/>
              <w:rPr>
                <w:rFonts w:hint="eastAsia" w:ascii="仿宋" w:hAnsi="仿宋" w:eastAsia="仿宋" w:cs="仿宋"/>
                <w:sz w:val="21"/>
                <w:szCs w:val="21"/>
              </w:rPr>
            </w:pPr>
            <w:r>
              <w:rPr>
                <w:rFonts w:hint="eastAsia" w:ascii="仿宋" w:hAnsi="仿宋" w:eastAsia="仿宋" w:cs="仿宋"/>
                <w:sz w:val="21"/>
                <w:szCs w:val="21"/>
              </w:rPr>
              <w:t>较小</w:t>
            </w:r>
          </w:p>
        </w:tc>
        <w:tc>
          <w:tcPr>
            <w:tcW w:w="906" w:type="dxa"/>
            <w:tcBorders>
              <w:left w:val="single" w:color="000000" w:sz="4" w:space="0"/>
              <w:tl2br w:val="nil"/>
              <w:tr2bl w:val="nil"/>
            </w:tcBorders>
            <w:vAlign w:val="center"/>
          </w:tcPr>
          <w:p w14:paraId="525A86ED">
            <w:pPr>
              <w:jc w:val="center"/>
              <w:rPr>
                <w:rFonts w:hint="eastAsia" w:ascii="仿宋" w:hAnsi="仿宋" w:eastAsia="仿宋" w:cs="仿宋"/>
                <w:sz w:val="21"/>
                <w:szCs w:val="21"/>
              </w:rPr>
            </w:pPr>
            <w:r>
              <w:rPr>
                <w:rFonts w:hint="eastAsia" w:ascii="仿宋" w:hAnsi="仿宋" w:eastAsia="仿宋" w:cs="仿宋"/>
                <w:sz w:val="21"/>
                <w:szCs w:val="21"/>
              </w:rPr>
              <w:t>较小</w:t>
            </w:r>
          </w:p>
        </w:tc>
      </w:tr>
      <w:tr w14:paraId="2BD9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502" w:type="dxa"/>
            <w:tcBorders>
              <w:bottom w:val="single" w:color="000000" w:sz="4" w:space="0"/>
              <w:right w:val="single" w:color="000000" w:sz="4" w:space="0"/>
              <w:tl2br w:val="nil"/>
              <w:tr2bl w:val="nil"/>
            </w:tcBorders>
            <w:vAlign w:val="center"/>
          </w:tcPr>
          <w:p w14:paraId="1ED87984">
            <w:pPr>
              <w:jc w:val="center"/>
              <w:rPr>
                <w:rFonts w:hint="eastAsia" w:ascii="仿宋" w:hAnsi="仿宋" w:eastAsia="仿宋" w:cs="仿宋"/>
                <w:sz w:val="21"/>
                <w:szCs w:val="21"/>
              </w:rPr>
            </w:pPr>
            <w:r>
              <w:rPr>
                <w:rFonts w:hint="eastAsia" w:ascii="仿宋" w:hAnsi="仿宋" w:eastAsia="仿宋" w:cs="仿宋"/>
                <w:sz w:val="21"/>
                <w:szCs w:val="21"/>
              </w:rPr>
              <w:t>5</w:t>
            </w:r>
          </w:p>
        </w:tc>
        <w:tc>
          <w:tcPr>
            <w:tcW w:w="1395" w:type="dxa"/>
            <w:vMerge w:val="continue"/>
            <w:tcBorders>
              <w:left w:val="single" w:color="000000" w:sz="4" w:space="0"/>
              <w:bottom w:val="single" w:color="000000" w:sz="4" w:space="0"/>
              <w:tl2br w:val="nil"/>
              <w:tr2bl w:val="nil"/>
            </w:tcBorders>
            <w:vAlign w:val="center"/>
          </w:tcPr>
          <w:p w14:paraId="008BBC5E">
            <w:pPr>
              <w:jc w:val="center"/>
              <w:rPr>
                <w:rFonts w:hint="eastAsia" w:ascii="仿宋" w:hAnsi="仿宋" w:eastAsia="仿宋" w:cs="仿宋"/>
                <w:sz w:val="21"/>
                <w:szCs w:val="21"/>
              </w:rPr>
            </w:pPr>
          </w:p>
        </w:tc>
        <w:tc>
          <w:tcPr>
            <w:tcW w:w="3525" w:type="dxa"/>
            <w:tcBorders>
              <w:bottom w:val="single" w:color="000000" w:sz="4" w:space="0"/>
              <w:right w:val="single" w:color="000000" w:sz="4" w:space="0"/>
              <w:tl2br w:val="nil"/>
              <w:tr2bl w:val="nil"/>
            </w:tcBorders>
          </w:tcPr>
          <w:p w14:paraId="278343D5">
            <w:pPr>
              <w:rPr>
                <w:rFonts w:hint="eastAsia" w:ascii="仿宋" w:hAnsi="仿宋" w:eastAsia="仿宋" w:cs="仿宋"/>
                <w:sz w:val="21"/>
                <w:szCs w:val="21"/>
              </w:rPr>
            </w:pPr>
            <w:r>
              <w:rPr>
                <w:rFonts w:hint="eastAsia" w:ascii="仿宋" w:hAnsi="仿宋" w:eastAsia="仿宋" w:cs="仿宋"/>
                <w:sz w:val="21"/>
                <w:szCs w:val="21"/>
              </w:rPr>
              <w:t>是否导致新的收入分配不公、贫富差距加大</w:t>
            </w:r>
          </w:p>
        </w:tc>
        <w:tc>
          <w:tcPr>
            <w:tcW w:w="900" w:type="dxa"/>
            <w:tcBorders>
              <w:left w:val="single" w:color="000000" w:sz="4" w:space="0"/>
              <w:bottom w:val="single" w:color="000000" w:sz="4" w:space="0"/>
              <w:right w:val="single" w:color="000000" w:sz="4" w:space="0"/>
              <w:tl2br w:val="nil"/>
              <w:tr2bl w:val="nil"/>
            </w:tcBorders>
            <w:vAlign w:val="center"/>
          </w:tcPr>
          <w:p w14:paraId="6CA79E46">
            <w:pPr>
              <w:jc w:val="center"/>
              <w:rPr>
                <w:rFonts w:hint="eastAsia" w:ascii="仿宋" w:hAnsi="仿宋" w:eastAsia="仿宋" w:cs="仿宋"/>
                <w:sz w:val="21"/>
                <w:szCs w:val="21"/>
              </w:rPr>
            </w:pPr>
            <w:r>
              <w:rPr>
                <w:rFonts w:hint="eastAsia" w:ascii="仿宋" w:hAnsi="仿宋" w:eastAsia="仿宋" w:cs="仿宋"/>
                <w:sz w:val="21"/>
                <w:szCs w:val="21"/>
                <w:lang w:val="en-US" w:eastAsia="zh-CN"/>
              </w:rPr>
              <w:t>很</w:t>
            </w:r>
            <w:r>
              <w:rPr>
                <w:rFonts w:hint="eastAsia" w:ascii="仿宋" w:hAnsi="仿宋" w:eastAsia="仿宋" w:cs="仿宋"/>
                <w:sz w:val="21"/>
                <w:szCs w:val="21"/>
              </w:rPr>
              <w:t>低</w:t>
            </w:r>
          </w:p>
        </w:tc>
        <w:tc>
          <w:tcPr>
            <w:tcW w:w="900" w:type="dxa"/>
            <w:tcBorders>
              <w:left w:val="single" w:color="000000" w:sz="4" w:space="0"/>
              <w:bottom w:val="single" w:color="000000" w:sz="4" w:space="0"/>
              <w:right w:val="single" w:color="000000" w:sz="4" w:space="0"/>
              <w:tl2br w:val="nil"/>
              <w:tr2bl w:val="nil"/>
            </w:tcBorders>
            <w:vAlign w:val="center"/>
          </w:tcPr>
          <w:p w14:paraId="711837A2">
            <w:pPr>
              <w:jc w:val="center"/>
              <w:rPr>
                <w:rFonts w:hint="eastAsia" w:ascii="仿宋" w:hAnsi="仿宋" w:eastAsia="仿宋" w:cs="仿宋"/>
                <w:sz w:val="21"/>
                <w:szCs w:val="21"/>
              </w:rPr>
            </w:pPr>
            <w:r>
              <w:rPr>
                <w:rFonts w:hint="eastAsia" w:ascii="仿宋" w:hAnsi="仿宋" w:eastAsia="仿宋" w:cs="仿宋"/>
                <w:sz w:val="21"/>
                <w:szCs w:val="21"/>
              </w:rPr>
              <w:t>较小</w:t>
            </w:r>
          </w:p>
        </w:tc>
        <w:tc>
          <w:tcPr>
            <w:tcW w:w="906" w:type="dxa"/>
            <w:tcBorders>
              <w:left w:val="single" w:color="000000" w:sz="4" w:space="0"/>
              <w:bottom w:val="single" w:color="000000" w:sz="4" w:space="0"/>
              <w:tl2br w:val="nil"/>
              <w:tr2bl w:val="nil"/>
            </w:tcBorders>
            <w:vAlign w:val="center"/>
          </w:tcPr>
          <w:p w14:paraId="782A8AAA">
            <w:pPr>
              <w:jc w:val="center"/>
              <w:rPr>
                <w:rFonts w:hint="eastAsia" w:ascii="仿宋" w:hAnsi="仿宋" w:eastAsia="仿宋" w:cs="仿宋"/>
                <w:sz w:val="21"/>
                <w:szCs w:val="21"/>
              </w:rPr>
            </w:pPr>
            <w:r>
              <w:rPr>
                <w:rFonts w:hint="eastAsia" w:ascii="仿宋" w:hAnsi="仿宋" w:eastAsia="仿宋" w:cs="仿宋"/>
                <w:sz w:val="21"/>
                <w:szCs w:val="21"/>
              </w:rPr>
              <w:t>较小</w:t>
            </w:r>
          </w:p>
        </w:tc>
      </w:tr>
      <w:tr w14:paraId="5D48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502" w:type="dxa"/>
            <w:tcBorders>
              <w:top w:val="single" w:color="000000" w:sz="4" w:space="0"/>
              <w:bottom w:val="single" w:color="000000" w:sz="4" w:space="0"/>
              <w:right w:val="single" w:color="000000" w:sz="4" w:space="0"/>
              <w:tl2br w:val="nil"/>
              <w:tr2bl w:val="nil"/>
            </w:tcBorders>
            <w:vAlign w:val="center"/>
          </w:tcPr>
          <w:p w14:paraId="741F942E">
            <w:pPr>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7</w:t>
            </w:r>
          </w:p>
        </w:tc>
        <w:tc>
          <w:tcPr>
            <w:tcW w:w="1395" w:type="dxa"/>
            <w:vMerge w:val="restart"/>
            <w:tcBorders>
              <w:top w:val="single" w:color="000000" w:sz="4" w:space="0"/>
              <w:left w:val="single" w:color="000000" w:sz="4" w:space="0"/>
              <w:tl2br w:val="nil"/>
              <w:tr2bl w:val="nil"/>
            </w:tcBorders>
            <w:vAlign w:val="center"/>
          </w:tcPr>
          <w:p w14:paraId="0B80ACC7">
            <w:pPr>
              <w:jc w:val="center"/>
              <w:rPr>
                <w:rFonts w:hint="eastAsia" w:ascii="仿宋" w:hAnsi="仿宋" w:eastAsia="仿宋" w:cs="仿宋"/>
                <w:sz w:val="21"/>
                <w:szCs w:val="21"/>
              </w:rPr>
            </w:pPr>
            <w:r>
              <w:rPr>
                <w:rFonts w:hint="eastAsia" w:ascii="仿宋" w:hAnsi="仿宋" w:eastAsia="仿宋" w:cs="仿宋"/>
                <w:sz w:val="21"/>
                <w:szCs w:val="21"/>
              </w:rPr>
              <w:t>决策执行力</w:t>
            </w:r>
          </w:p>
        </w:tc>
        <w:tc>
          <w:tcPr>
            <w:tcW w:w="3525" w:type="dxa"/>
            <w:tcBorders>
              <w:top w:val="single" w:color="000000" w:sz="4" w:space="0"/>
              <w:bottom w:val="single" w:color="000000" w:sz="4" w:space="0"/>
              <w:right w:val="single" w:color="000000" w:sz="4" w:space="0"/>
              <w:tl2br w:val="nil"/>
              <w:tr2bl w:val="nil"/>
            </w:tcBorders>
          </w:tcPr>
          <w:p w14:paraId="75C2C701">
            <w:pPr>
              <w:rPr>
                <w:rFonts w:hint="eastAsia" w:ascii="仿宋" w:hAnsi="仿宋" w:eastAsia="仿宋" w:cs="仿宋"/>
                <w:sz w:val="21"/>
                <w:szCs w:val="21"/>
              </w:rPr>
            </w:pPr>
            <w:r>
              <w:rPr>
                <w:rFonts w:hint="eastAsia" w:ascii="仿宋" w:hAnsi="仿宋" w:eastAsia="仿宋" w:cs="仿宋"/>
                <w:sz w:val="21"/>
                <w:szCs w:val="21"/>
              </w:rPr>
              <w:t>政府监管水平</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14:paraId="37ACE26A">
            <w:pPr>
              <w:jc w:val="center"/>
              <w:rPr>
                <w:rFonts w:hint="eastAsia" w:ascii="仿宋" w:hAnsi="仿宋" w:eastAsia="仿宋" w:cs="仿宋"/>
                <w:sz w:val="21"/>
                <w:szCs w:val="21"/>
              </w:rPr>
            </w:pPr>
            <w:r>
              <w:rPr>
                <w:rFonts w:hint="eastAsia" w:ascii="仿宋" w:hAnsi="仿宋" w:eastAsia="仿宋" w:cs="仿宋"/>
                <w:sz w:val="21"/>
                <w:szCs w:val="21"/>
              </w:rPr>
              <w:t>较低</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14:paraId="15E805FF">
            <w:pPr>
              <w:jc w:val="center"/>
              <w:rPr>
                <w:rFonts w:hint="eastAsia" w:ascii="仿宋" w:hAnsi="仿宋" w:eastAsia="仿宋" w:cs="仿宋"/>
                <w:sz w:val="21"/>
                <w:szCs w:val="21"/>
              </w:rPr>
            </w:pPr>
            <w:r>
              <w:rPr>
                <w:rFonts w:hint="eastAsia" w:ascii="仿宋" w:hAnsi="仿宋" w:eastAsia="仿宋" w:cs="仿宋"/>
                <w:sz w:val="21"/>
                <w:szCs w:val="21"/>
              </w:rPr>
              <w:t>中等</w:t>
            </w:r>
          </w:p>
        </w:tc>
        <w:tc>
          <w:tcPr>
            <w:tcW w:w="906" w:type="dxa"/>
            <w:tcBorders>
              <w:top w:val="single" w:color="000000" w:sz="4" w:space="0"/>
              <w:left w:val="single" w:color="000000" w:sz="4" w:space="0"/>
              <w:bottom w:val="single" w:color="000000" w:sz="4" w:space="0"/>
              <w:tl2br w:val="nil"/>
              <w:tr2bl w:val="nil"/>
            </w:tcBorders>
            <w:vAlign w:val="center"/>
          </w:tcPr>
          <w:p w14:paraId="5F102FFC">
            <w:pPr>
              <w:jc w:val="center"/>
              <w:rPr>
                <w:rFonts w:hint="eastAsia" w:ascii="仿宋" w:hAnsi="仿宋" w:eastAsia="仿宋" w:cs="仿宋"/>
                <w:sz w:val="21"/>
                <w:szCs w:val="21"/>
              </w:rPr>
            </w:pPr>
            <w:r>
              <w:rPr>
                <w:rFonts w:hint="eastAsia" w:ascii="仿宋" w:hAnsi="仿宋" w:eastAsia="仿宋" w:cs="仿宋"/>
                <w:sz w:val="21"/>
                <w:szCs w:val="21"/>
              </w:rPr>
              <w:t>一般</w:t>
            </w:r>
          </w:p>
        </w:tc>
      </w:tr>
      <w:tr w14:paraId="104D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502" w:type="dxa"/>
            <w:tcBorders>
              <w:top w:val="single" w:color="000000" w:sz="4" w:space="0"/>
              <w:right w:val="single" w:color="000000" w:sz="4" w:space="0"/>
              <w:tl2br w:val="nil"/>
              <w:tr2bl w:val="nil"/>
            </w:tcBorders>
            <w:vAlign w:val="center"/>
          </w:tcPr>
          <w:p w14:paraId="44A2C1F1">
            <w:pPr>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8</w:t>
            </w:r>
          </w:p>
        </w:tc>
        <w:tc>
          <w:tcPr>
            <w:tcW w:w="1395" w:type="dxa"/>
            <w:vMerge w:val="continue"/>
            <w:tcBorders>
              <w:left w:val="single" w:color="000000" w:sz="4" w:space="0"/>
              <w:tl2br w:val="nil"/>
              <w:tr2bl w:val="nil"/>
            </w:tcBorders>
            <w:vAlign w:val="center"/>
          </w:tcPr>
          <w:p w14:paraId="3A933B52">
            <w:pPr>
              <w:jc w:val="center"/>
              <w:rPr>
                <w:rFonts w:hint="eastAsia" w:ascii="仿宋" w:hAnsi="仿宋" w:eastAsia="仿宋" w:cs="仿宋"/>
                <w:sz w:val="21"/>
                <w:szCs w:val="21"/>
              </w:rPr>
            </w:pPr>
          </w:p>
        </w:tc>
        <w:tc>
          <w:tcPr>
            <w:tcW w:w="3525" w:type="dxa"/>
            <w:tcBorders>
              <w:top w:val="single" w:color="000000" w:sz="4" w:space="0"/>
              <w:right w:val="single" w:color="000000" w:sz="4" w:space="0"/>
              <w:tl2br w:val="nil"/>
              <w:tr2bl w:val="nil"/>
            </w:tcBorders>
          </w:tcPr>
          <w:p w14:paraId="02D3ED74">
            <w:pPr>
              <w:rPr>
                <w:rFonts w:hint="eastAsia" w:ascii="仿宋" w:hAnsi="仿宋" w:eastAsia="仿宋" w:cs="仿宋"/>
                <w:sz w:val="21"/>
                <w:szCs w:val="21"/>
              </w:rPr>
            </w:pPr>
            <w:r>
              <w:rPr>
                <w:rFonts w:hint="eastAsia" w:ascii="仿宋" w:hAnsi="仿宋" w:eastAsia="仿宋" w:cs="仿宋"/>
                <w:spacing w:val="-4"/>
                <w:sz w:val="21"/>
                <w:szCs w:val="21"/>
              </w:rPr>
              <w:t>舆论宣传引导、网络打防管控能力及对负面舆论、恶意炒作应对能力</w:t>
            </w:r>
          </w:p>
        </w:tc>
        <w:tc>
          <w:tcPr>
            <w:tcW w:w="900" w:type="dxa"/>
            <w:tcBorders>
              <w:top w:val="single" w:color="000000" w:sz="4" w:space="0"/>
              <w:left w:val="single" w:color="000000" w:sz="4" w:space="0"/>
              <w:right w:val="single" w:color="000000" w:sz="4" w:space="0"/>
              <w:tl2br w:val="nil"/>
              <w:tr2bl w:val="nil"/>
            </w:tcBorders>
            <w:vAlign w:val="center"/>
          </w:tcPr>
          <w:p w14:paraId="2325AC17">
            <w:pPr>
              <w:jc w:val="center"/>
              <w:rPr>
                <w:rFonts w:hint="eastAsia" w:ascii="仿宋" w:hAnsi="仿宋" w:eastAsia="仿宋" w:cs="仿宋"/>
                <w:spacing w:val="-4"/>
                <w:sz w:val="21"/>
                <w:szCs w:val="21"/>
              </w:rPr>
            </w:pPr>
            <w:r>
              <w:rPr>
                <w:rFonts w:hint="eastAsia" w:ascii="仿宋" w:hAnsi="仿宋" w:eastAsia="仿宋" w:cs="仿宋"/>
                <w:spacing w:val="-4"/>
                <w:sz w:val="21"/>
                <w:szCs w:val="21"/>
              </w:rPr>
              <w:t>很低</w:t>
            </w:r>
          </w:p>
        </w:tc>
        <w:tc>
          <w:tcPr>
            <w:tcW w:w="900" w:type="dxa"/>
            <w:tcBorders>
              <w:top w:val="single" w:color="000000" w:sz="4" w:space="0"/>
              <w:left w:val="single" w:color="000000" w:sz="4" w:space="0"/>
              <w:right w:val="single" w:color="000000" w:sz="4" w:space="0"/>
              <w:tl2br w:val="nil"/>
              <w:tr2bl w:val="nil"/>
            </w:tcBorders>
            <w:vAlign w:val="center"/>
          </w:tcPr>
          <w:p w14:paraId="38DFA9D4">
            <w:pPr>
              <w:jc w:val="center"/>
              <w:rPr>
                <w:rFonts w:hint="eastAsia" w:ascii="仿宋" w:hAnsi="仿宋" w:eastAsia="仿宋" w:cs="仿宋"/>
                <w:spacing w:val="-4"/>
                <w:sz w:val="21"/>
                <w:szCs w:val="21"/>
              </w:rPr>
            </w:pPr>
            <w:r>
              <w:rPr>
                <w:rFonts w:hint="eastAsia" w:ascii="仿宋" w:hAnsi="仿宋" w:eastAsia="仿宋" w:cs="仿宋"/>
                <w:spacing w:val="-4"/>
                <w:sz w:val="21"/>
                <w:szCs w:val="21"/>
              </w:rPr>
              <w:t>较小</w:t>
            </w:r>
          </w:p>
        </w:tc>
        <w:tc>
          <w:tcPr>
            <w:tcW w:w="906" w:type="dxa"/>
            <w:tcBorders>
              <w:top w:val="single" w:color="000000" w:sz="4" w:space="0"/>
              <w:left w:val="single" w:color="000000" w:sz="4" w:space="0"/>
              <w:tl2br w:val="nil"/>
              <w:tr2bl w:val="nil"/>
            </w:tcBorders>
            <w:vAlign w:val="center"/>
          </w:tcPr>
          <w:p w14:paraId="06B24FC1">
            <w:pPr>
              <w:jc w:val="center"/>
              <w:rPr>
                <w:rFonts w:hint="eastAsia" w:ascii="仿宋" w:hAnsi="仿宋" w:eastAsia="仿宋" w:cs="仿宋"/>
                <w:spacing w:val="-4"/>
                <w:sz w:val="21"/>
                <w:szCs w:val="21"/>
              </w:rPr>
            </w:pPr>
            <w:r>
              <w:rPr>
                <w:rFonts w:hint="eastAsia" w:ascii="仿宋" w:hAnsi="仿宋" w:eastAsia="仿宋" w:cs="仿宋"/>
                <w:sz w:val="21"/>
                <w:szCs w:val="21"/>
              </w:rPr>
              <w:t>较小</w:t>
            </w:r>
          </w:p>
        </w:tc>
      </w:tr>
      <w:tr w14:paraId="2EC7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02" w:type="dxa"/>
            <w:tcBorders>
              <w:right w:val="single" w:color="000000" w:sz="4" w:space="0"/>
              <w:tl2br w:val="nil"/>
              <w:tr2bl w:val="nil"/>
            </w:tcBorders>
            <w:vAlign w:val="center"/>
          </w:tcPr>
          <w:p w14:paraId="6DE7E56E">
            <w:pPr>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9</w:t>
            </w:r>
          </w:p>
        </w:tc>
        <w:tc>
          <w:tcPr>
            <w:tcW w:w="1395" w:type="dxa"/>
            <w:vMerge w:val="continue"/>
            <w:tcBorders>
              <w:left w:val="single" w:color="000000" w:sz="4" w:space="0"/>
              <w:tl2br w:val="nil"/>
              <w:tr2bl w:val="nil"/>
            </w:tcBorders>
            <w:vAlign w:val="center"/>
          </w:tcPr>
          <w:p w14:paraId="74974D55">
            <w:pPr>
              <w:jc w:val="center"/>
              <w:rPr>
                <w:rFonts w:hint="eastAsia" w:ascii="仿宋" w:hAnsi="仿宋" w:eastAsia="仿宋" w:cs="仿宋"/>
                <w:sz w:val="21"/>
                <w:szCs w:val="21"/>
              </w:rPr>
            </w:pPr>
          </w:p>
        </w:tc>
        <w:tc>
          <w:tcPr>
            <w:tcW w:w="3525" w:type="dxa"/>
            <w:tcBorders>
              <w:right w:val="single" w:color="000000" w:sz="4" w:space="0"/>
              <w:tl2br w:val="nil"/>
              <w:tr2bl w:val="nil"/>
            </w:tcBorders>
          </w:tcPr>
          <w:p w14:paraId="4D4A46A6">
            <w:pPr>
              <w:rPr>
                <w:rFonts w:hint="eastAsia" w:ascii="仿宋" w:hAnsi="仿宋" w:eastAsia="仿宋" w:cs="仿宋"/>
                <w:sz w:val="21"/>
                <w:szCs w:val="21"/>
              </w:rPr>
            </w:pPr>
            <w:r>
              <w:rPr>
                <w:rFonts w:hint="eastAsia" w:ascii="仿宋" w:hAnsi="仿宋" w:eastAsia="仿宋" w:cs="仿宋"/>
                <w:sz w:val="21"/>
                <w:szCs w:val="21"/>
              </w:rPr>
              <w:t>政府各职能部门信息沟通渠道是否畅通</w:t>
            </w:r>
          </w:p>
        </w:tc>
        <w:tc>
          <w:tcPr>
            <w:tcW w:w="900" w:type="dxa"/>
            <w:tcBorders>
              <w:left w:val="single" w:color="000000" w:sz="4" w:space="0"/>
              <w:right w:val="single" w:color="000000" w:sz="4" w:space="0"/>
              <w:tl2br w:val="nil"/>
              <w:tr2bl w:val="nil"/>
            </w:tcBorders>
            <w:vAlign w:val="center"/>
          </w:tcPr>
          <w:p w14:paraId="33B33DE2">
            <w:pPr>
              <w:jc w:val="center"/>
              <w:rPr>
                <w:rFonts w:hint="eastAsia" w:ascii="仿宋" w:hAnsi="仿宋" w:eastAsia="仿宋" w:cs="仿宋"/>
                <w:sz w:val="21"/>
                <w:szCs w:val="21"/>
              </w:rPr>
            </w:pPr>
            <w:r>
              <w:rPr>
                <w:rFonts w:hint="eastAsia" w:ascii="仿宋" w:hAnsi="仿宋" w:eastAsia="仿宋" w:cs="仿宋"/>
                <w:sz w:val="21"/>
                <w:szCs w:val="21"/>
              </w:rPr>
              <w:t>较低</w:t>
            </w:r>
          </w:p>
        </w:tc>
        <w:tc>
          <w:tcPr>
            <w:tcW w:w="900" w:type="dxa"/>
            <w:tcBorders>
              <w:left w:val="single" w:color="000000" w:sz="4" w:space="0"/>
              <w:right w:val="single" w:color="000000" w:sz="4" w:space="0"/>
              <w:tl2br w:val="nil"/>
              <w:tr2bl w:val="nil"/>
            </w:tcBorders>
            <w:vAlign w:val="center"/>
          </w:tcPr>
          <w:p w14:paraId="3075527A">
            <w:pPr>
              <w:jc w:val="center"/>
              <w:rPr>
                <w:rFonts w:hint="eastAsia" w:ascii="仿宋" w:hAnsi="仿宋" w:eastAsia="仿宋" w:cs="仿宋"/>
                <w:sz w:val="21"/>
                <w:szCs w:val="21"/>
              </w:rPr>
            </w:pPr>
            <w:r>
              <w:rPr>
                <w:rFonts w:hint="eastAsia" w:ascii="仿宋" w:hAnsi="仿宋" w:eastAsia="仿宋" w:cs="仿宋"/>
                <w:sz w:val="21"/>
                <w:szCs w:val="21"/>
              </w:rPr>
              <w:t>较小</w:t>
            </w:r>
          </w:p>
        </w:tc>
        <w:tc>
          <w:tcPr>
            <w:tcW w:w="906" w:type="dxa"/>
            <w:tcBorders>
              <w:left w:val="single" w:color="000000" w:sz="4" w:space="0"/>
              <w:tl2br w:val="nil"/>
              <w:tr2bl w:val="nil"/>
            </w:tcBorders>
            <w:vAlign w:val="center"/>
          </w:tcPr>
          <w:p w14:paraId="24B647B8">
            <w:pPr>
              <w:jc w:val="center"/>
              <w:rPr>
                <w:rFonts w:hint="eastAsia" w:ascii="仿宋" w:hAnsi="仿宋" w:eastAsia="仿宋" w:cs="仿宋"/>
                <w:sz w:val="21"/>
                <w:szCs w:val="21"/>
              </w:rPr>
            </w:pPr>
            <w:r>
              <w:rPr>
                <w:rFonts w:hint="eastAsia" w:ascii="仿宋" w:hAnsi="仿宋" w:eastAsia="仿宋" w:cs="仿宋"/>
                <w:sz w:val="21"/>
                <w:szCs w:val="21"/>
              </w:rPr>
              <w:t>较小</w:t>
            </w:r>
          </w:p>
        </w:tc>
      </w:tr>
    </w:tbl>
    <w:p w14:paraId="49309D32">
      <w:pPr>
        <w:rPr>
          <w:rFonts w:hint="default" w:ascii="Times New Roman" w:hAnsi="Times New Roman" w:cs="Times New Roman"/>
        </w:rPr>
      </w:pPr>
    </w:p>
    <w:p w14:paraId="08FFE293">
      <w:pPr>
        <w:spacing w:line="56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（四）单因素风险定量分析</w:t>
      </w:r>
    </w:p>
    <w:p w14:paraId="7595F0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在决策单风险因素的风险概率和影响程度估计的基础上，按公式（风险程度=风险概率×影响程度）可得到每个风险因素的风险程度（见表-5）。</w:t>
      </w:r>
    </w:p>
    <w:p w14:paraId="36A011AD">
      <w:pPr>
        <w:spacing w:line="56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（五）综合风险分析</w:t>
      </w:r>
    </w:p>
    <w:p w14:paraId="617131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1.总体评判</w:t>
      </w:r>
    </w:p>
    <w:p w14:paraId="0FD531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此次重大决策总体上获得了社会各界的理解和支持，没有获知明确的反对意见。</w:t>
      </w:r>
    </w:p>
    <w:p w14:paraId="757A42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2.单因素风险程度</w:t>
      </w:r>
    </w:p>
    <w:p w14:paraId="190025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本决策采取风险防范、化解措施后，</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个单风险因素中有</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个风险因素的风险程度为“一般”，有7个风险因素的风险程度为“较小”。</w:t>
      </w:r>
    </w:p>
    <w:p w14:paraId="354A38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3.综合风险指数</w:t>
      </w:r>
    </w:p>
    <w:p w14:paraId="14C063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经计算，在采取风险防范化解措施后综合风险指数为</w:t>
      </w:r>
      <w:r>
        <w:rPr>
          <w:rFonts w:hint="default" w:ascii="Times New Roman" w:hAnsi="Times New Roman" w:eastAsia="宋体" w:cs="Times New Roman"/>
          <w:i w:val="0"/>
          <w:iCs w:val="0"/>
          <w:color w:val="000000"/>
          <w:kern w:val="0"/>
          <w:sz w:val="32"/>
          <w:szCs w:val="32"/>
          <w:u w:val="none"/>
          <w:lang w:val="en-US" w:eastAsia="zh-CN" w:bidi="ar"/>
        </w:rPr>
        <w:t>0.133019</w:t>
      </w:r>
      <w:r>
        <w:rPr>
          <w:rFonts w:hint="default" w:ascii="Times New Roman" w:hAnsi="Times New Roman" w:eastAsia="仿宋_GB2312" w:cs="Times New Roman"/>
          <w:sz w:val="32"/>
          <w:szCs w:val="32"/>
        </w:rPr>
        <w:t>（见表-5），综合风险指数小于0.36（见表-6），判断《规划》决策风险等级为“低风险”。</w:t>
      </w:r>
    </w:p>
    <w:p w14:paraId="4170039E">
      <w:pPr>
        <w:spacing w:line="360" w:lineRule="auto"/>
        <w:jc w:val="center"/>
        <w:rPr>
          <w:rFonts w:hint="default" w:ascii="Times New Roman" w:hAnsi="Times New Roman" w:eastAsia="宋体" w:cs="Times New Roman"/>
          <w:sz w:val="21"/>
          <w:szCs w:val="21"/>
          <w:vertAlign w:val="superscript"/>
        </w:rPr>
      </w:pPr>
      <w:r>
        <w:rPr>
          <w:rFonts w:hint="default" w:ascii="Times New Roman" w:hAnsi="Times New Roman" w:eastAsia="宋体" w:cs="Times New Roman"/>
          <w:sz w:val="21"/>
          <w:szCs w:val="21"/>
        </w:rPr>
        <w:t>表-6用于《规划》社会稳定风险分析的指标体系和评判标准</w:t>
      </w:r>
    </w:p>
    <w:tbl>
      <w:tblPr>
        <w:tblStyle w:val="11"/>
        <w:tblW w:w="8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1"/>
        <w:gridCol w:w="2319"/>
        <w:gridCol w:w="2100"/>
        <w:gridCol w:w="2100"/>
      </w:tblGrid>
      <w:tr w14:paraId="3F1E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881" w:type="dxa"/>
            <w:noWrap/>
            <w:vAlign w:val="center"/>
          </w:tcPr>
          <w:p w14:paraId="492BAF57">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风险等级</w:t>
            </w:r>
          </w:p>
        </w:tc>
        <w:tc>
          <w:tcPr>
            <w:tcW w:w="2319" w:type="dxa"/>
            <w:noWrap/>
            <w:vAlign w:val="center"/>
          </w:tcPr>
          <w:p w14:paraId="62AFCD62">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高风险</w:t>
            </w:r>
          </w:p>
        </w:tc>
        <w:tc>
          <w:tcPr>
            <w:tcW w:w="2100" w:type="dxa"/>
            <w:noWrap/>
            <w:vAlign w:val="center"/>
          </w:tcPr>
          <w:p w14:paraId="0316B906">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中风险</w:t>
            </w:r>
          </w:p>
        </w:tc>
        <w:tc>
          <w:tcPr>
            <w:tcW w:w="2100" w:type="dxa"/>
            <w:noWrap/>
            <w:vAlign w:val="center"/>
          </w:tcPr>
          <w:p w14:paraId="51095999">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低风险</w:t>
            </w:r>
          </w:p>
        </w:tc>
      </w:tr>
      <w:tr w14:paraId="0D1F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881" w:type="dxa"/>
            <w:noWrap/>
            <w:vAlign w:val="center"/>
          </w:tcPr>
          <w:p w14:paraId="79A0EEB5">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总体评判标准</w:t>
            </w:r>
          </w:p>
        </w:tc>
        <w:tc>
          <w:tcPr>
            <w:tcW w:w="2319" w:type="dxa"/>
            <w:noWrap/>
            <w:vAlign w:val="center"/>
          </w:tcPr>
          <w:p w14:paraId="5C642B5A">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大部分群众对项目实施有意见，反应特别强烈，可能引发大规模社会稳定风险。</w:t>
            </w:r>
          </w:p>
        </w:tc>
        <w:tc>
          <w:tcPr>
            <w:tcW w:w="2100" w:type="dxa"/>
            <w:noWrap/>
            <w:vAlign w:val="center"/>
          </w:tcPr>
          <w:p w14:paraId="038C4CCA">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部分群众对项目实施有意见，反映强烈，可能引发矛盾冲突。</w:t>
            </w:r>
          </w:p>
        </w:tc>
        <w:tc>
          <w:tcPr>
            <w:tcW w:w="2100" w:type="dxa"/>
            <w:noWrap/>
            <w:vAlign w:val="center"/>
          </w:tcPr>
          <w:p w14:paraId="4DB9714E">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多数群众理解支持，但少数群众对项目实施有意见。</w:t>
            </w:r>
          </w:p>
        </w:tc>
      </w:tr>
      <w:tr w14:paraId="4CC4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1881" w:type="dxa"/>
            <w:noWrap/>
            <w:vAlign w:val="center"/>
          </w:tcPr>
          <w:p w14:paraId="3E60DCB3">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可能引发风险事件评判标准</w:t>
            </w:r>
          </w:p>
        </w:tc>
        <w:tc>
          <w:tcPr>
            <w:tcW w:w="2319" w:type="dxa"/>
            <w:noWrap/>
            <w:vAlign w:val="center"/>
          </w:tcPr>
          <w:p w14:paraId="5EF95799">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如冲击、围攻党政机关、要害部门及重大地区、部门、场所、发生打砸抢烧等集体械斗、聚众闹事、人员伤亡时间，非法集会、市委、游行、罢工、罢市、罢课等。</w:t>
            </w:r>
          </w:p>
        </w:tc>
        <w:tc>
          <w:tcPr>
            <w:tcW w:w="2100" w:type="dxa"/>
            <w:noWrap/>
            <w:vAlign w:val="center"/>
          </w:tcPr>
          <w:p w14:paraId="3939E5AF">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如集体上访、请愿、发生极端个人事件，媒体（网络）出现负面舆情等。</w:t>
            </w:r>
          </w:p>
        </w:tc>
        <w:tc>
          <w:tcPr>
            <w:tcW w:w="2100" w:type="dxa"/>
            <w:noWrap/>
            <w:vAlign w:val="center"/>
          </w:tcPr>
          <w:p w14:paraId="5F774574">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如个人非正常上访、静坐、拉横幅、喊口号、散发宣传品、散布有害信息等。</w:t>
            </w:r>
          </w:p>
        </w:tc>
      </w:tr>
      <w:tr w14:paraId="3E64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81" w:type="dxa"/>
            <w:noWrap/>
            <w:vAlign w:val="center"/>
          </w:tcPr>
          <w:p w14:paraId="6F7BB7BE">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风险事件参与人数评判标准</w:t>
            </w:r>
          </w:p>
        </w:tc>
        <w:tc>
          <w:tcPr>
            <w:tcW w:w="2319" w:type="dxa"/>
            <w:noWrap/>
            <w:vAlign w:val="center"/>
          </w:tcPr>
          <w:p w14:paraId="52242DB4">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200人以上</w:t>
            </w:r>
          </w:p>
        </w:tc>
        <w:tc>
          <w:tcPr>
            <w:tcW w:w="2100" w:type="dxa"/>
            <w:noWrap/>
            <w:vAlign w:val="center"/>
          </w:tcPr>
          <w:p w14:paraId="397C267C">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20至200人</w:t>
            </w:r>
          </w:p>
        </w:tc>
        <w:tc>
          <w:tcPr>
            <w:tcW w:w="2100" w:type="dxa"/>
            <w:noWrap/>
            <w:vAlign w:val="center"/>
          </w:tcPr>
          <w:p w14:paraId="34007EA3">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20人以下</w:t>
            </w:r>
          </w:p>
        </w:tc>
      </w:tr>
      <w:tr w14:paraId="3117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81" w:type="dxa"/>
            <w:noWrap/>
            <w:vAlign w:val="center"/>
          </w:tcPr>
          <w:p w14:paraId="0563AE5B">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单因素风险程度</w:t>
            </w:r>
          </w:p>
          <w:p w14:paraId="6F0E666C">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评判标准</w:t>
            </w:r>
          </w:p>
        </w:tc>
        <w:tc>
          <w:tcPr>
            <w:tcW w:w="2319" w:type="dxa"/>
            <w:noWrap/>
            <w:vAlign w:val="center"/>
          </w:tcPr>
          <w:p w14:paraId="3B01C0AF">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2个及以上重大或5个及以上较大单因素风险</w:t>
            </w:r>
          </w:p>
        </w:tc>
        <w:tc>
          <w:tcPr>
            <w:tcW w:w="2100" w:type="dxa"/>
            <w:noWrap/>
            <w:vAlign w:val="center"/>
          </w:tcPr>
          <w:p w14:paraId="5EE63651">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1个重大或2个至4个较大单因素风险</w:t>
            </w:r>
          </w:p>
        </w:tc>
        <w:tc>
          <w:tcPr>
            <w:tcW w:w="2100" w:type="dxa"/>
            <w:noWrap/>
            <w:vAlign w:val="center"/>
          </w:tcPr>
          <w:p w14:paraId="7A9383AF">
            <w:pPr>
              <w:spacing w:line="360" w:lineRule="auto"/>
              <w:rPr>
                <w:rFonts w:hint="default" w:ascii="Times New Roman" w:hAnsi="Times New Roman" w:cs="Times New Roman"/>
                <w:sz w:val="21"/>
                <w:szCs w:val="21"/>
              </w:rPr>
            </w:pPr>
            <w:r>
              <w:rPr>
                <w:rFonts w:hint="default" w:ascii="Times New Roman" w:hAnsi="Times New Roman" w:cs="Times New Roman"/>
                <w:sz w:val="21"/>
                <w:szCs w:val="21"/>
              </w:rPr>
              <w:t>1个较大或1至4个一般单因素风险</w:t>
            </w:r>
          </w:p>
        </w:tc>
      </w:tr>
      <w:tr w14:paraId="721A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881" w:type="dxa"/>
            <w:noWrap/>
            <w:vAlign w:val="center"/>
          </w:tcPr>
          <w:p w14:paraId="673848F2">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综合风险指数</w:t>
            </w:r>
          </w:p>
          <w:p w14:paraId="7E3EF52A">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评判标准</w:t>
            </w:r>
          </w:p>
        </w:tc>
        <w:tc>
          <w:tcPr>
            <w:tcW w:w="2319" w:type="dxa"/>
            <w:noWrap/>
            <w:vAlign w:val="center"/>
          </w:tcPr>
          <w:p w14:paraId="45E9703D">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&gt;0.64</w:t>
            </w:r>
          </w:p>
        </w:tc>
        <w:tc>
          <w:tcPr>
            <w:tcW w:w="2100" w:type="dxa"/>
            <w:noWrap/>
            <w:vAlign w:val="center"/>
          </w:tcPr>
          <w:p w14:paraId="12FCC222">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0.36~0.64</w:t>
            </w:r>
          </w:p>
        </w:tc>
        <w:tc>
          <w:tcPr>
            <w:tcW w:w="2100" w:type="dxa"/>
            <w:noWrap/>
            <w:vAlign w:val="center"/>
          </w:tcPr>
          <w:p w14:paraId="6DD9B383">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&lt;0.36</w:t>
            </w:r>
          </w:p>
        </w:tc>
      </w:tr>
    </w:tbl>
    <w:p w14:paraId="6B8D06C3">
      <w:pPr>
        <w:rPr>
          <w:rFonts w:hint="default" w:ascii="Times New Roman" w:hAnsi="Times New Roman" w:cs="Times New Roman"/>
        </w:rPr>
      </w:pPr>
    </w:p>
    <w:p w14:paraId="7CFF4C15">
      <w:pPr>
        <w:rPr>
          <w:rFonts w:hint="default" w:ascii="Times New Roman" w:hAnsi="Times New Roman" w:cs="Times New Roman"/>
        </w:rPr>
        <w:sectPr>
          <w:footerReference r:id="rId3" w:type="default"/>
          <w:pgSz w:w="11906" w:h="16838"/>
          <w:pgMar w:top="1440" w:right="1800" w:bottom="1440" w:left="1800" w:header="851" w:footer="992" w:gutter="0"/>
          <w:pgNumType w:start="1"/>
          <w:cols w:space="425" w:num="1"/>
          <w:docGrid w:type="lines" w:linePitch="312" w:charSpace="0"/>
        </w:sectPr>
      </w:pPr>
    </w:p>
    <w:p w14:paraId="0FA26FA0">
      <w:pPr>
        <w:spacing w:line="360" w:lineRule="auto"/>
        <w:ind w:firstLine="480" w:firstLineChars="200"/>
        <w:jc w:val="center"/>
        <w:rPr>
          <w:rFonts w:hint="default" w:ascii="Times New Roman" w:hAnsi="Times New Roman" w:cs="Times New Roman"/>
          <w:sz w:val="24"/>
        </w:rPr>
      </w:pPr>
      <w:r>
        <w:rPr>
          <w:rFonts w:hint="default" w:ascii="Times New Roman" w:hAnsi="Times New Roman" w:cs="Times New Roman"/>
          <w:sz w:val="24"/>
        </w:rPr>
        <w:t>表-5《</w:t>
      </w:r>
      <w:r>
        <w:rPr>
          <w:rFonts w:hint="default" w:ascii="Times New Roman" w:hAnsi="Times New Roman" w:cs="Times New Roman"/>
          <w:sz w:val="24"/>
          <w:lang w:eastAsia="zh-CN"/>
        </w:rPr>
        <w:t>烟台市莱山区现代水网建设规划</w:t>
      </w:r>
      <w:r>
        <w:rPr>
          <w:rFonts w:hint="default" w:ascii="Times New Roman" w:hAnsi="Times New Roman" w:cs="Times New Roman"/>
          <w:sz w:val="24"/>
        </w:rPr>
        <w:t>》决策主要风险因素及其风险程度打分汇总表</w:t>
      </w:r>
    </w:p>
    <w:tbl>
      <w:tblPr>
        <w:tblStyle w:val="11"/>
        <w:tblpPr w:leftFromText="180" w:rightFromText="180" w:vertAnchor="text" w:horzAnchor="page" w:tblpX="1536" w:tblpY="18"/>
        <w:tblOverlap w:val="never"/>
        <w:tblW w:w="138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6285"/>
        <w:gridCol w:w="1425"/>
        <w:gridCol w:w="1395"/>
        <w:gridCol w:w="1425"/>
        <w:gridCol w:w="1305"/>
        <w:gridCol w:w="1351"/>
      </w:tblGrid>
      <w:tr w14:paraId="1CB6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27CCBA0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序号</w:t>
            </w:r>
          </w:p>
        </w:tc>
        <w:tc>
          <w:tcPr>
            <w:tcW w:w="6285" w:type="dxa"/>
            <w:vAlign w:val="center"/>
          </w:tcPr>
          <w:p w14:paraId="7FEF332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风险因素</w:t>
            </w:r>
          </w:p>
        </w:tc>
        <w:tc>
          <w:tcPr>
            <w:tcW w:w="1425" w:type="dxa"/>
            <w:vAlign w:val="center"/>
          </w:tcPr>
          <w:p w14:paraId="45D6981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风险概率（P）</w:t>
            </w:r>
          </w:p>
        </w:tc>
        <w:tc>
          <w:tcPr>
            <w:tcW w:w="1395" w:type="dxa"/>
            <w:vAlign w:val="center"/>
          </w:tcPr>
          <w:p w14:paraId="11FD454C">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影响程度（Q）</w:t>
            </w:r>
          </w:p>
        </w:tc>
        <w:tc>
          <w:tcPr>
            <w:tcW w:w="1425" w:type="dxa"/>
            <w:vAlign w:val="center"/>
          </w:tcPr>
          <w:p w14:paraId="307AEC30">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风险程度（R）</w:t>
            </w:r>
          </w:p>
        </w:tc>
        <w:tc>
          <w:tcPr>
            <w:tcW w:w="1305" w:type="dxa"/>
            <w:vAlign w:val="center"/>
          </w:tcPr>
          <w:p w14:paraId="71B2D31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权重（I）</w:t>
            </w:r>
          </w:p>
        </w:tc>
        <w:tc>
          <w:tcPr>
            <w:tcW w:w="1351" w:type="dxa"/>
            <w:vAlign w:val="center"/>
          </w:tcPr>
          <w:p w14:paraId="6B07455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风险指数（T=R×I）</w:t>
            </w:r>
          </w:p>
        </w:tc>
      </w:tr>
      <w:tr w14:paraId="7528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3566386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6285" w:type="dxa"/>
            <w:vAlign w:val="top"/>
          </w:tcPr>
          <w:p w14:paraId="73DF8229">
            <w:pPr>
              <w:keepNext w:val="0"/>
              <w:keepLines w:val="0"/>
              <w:widowControl/>
              <w:suppressLineNumbers w:val="0"/>
              <w:jc w:val="both"/>
              <w:textAlignment w:val="top"/>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听证、公示等公众参与程序是否合法</w:t>
            </w:r>
          </w:p>
        </w:tc>
        <w:tc>
          <w:tcPr>
            <w:tcW w:w="1425" w:type="dxa"/>
            <w:vAlign w:val="center"/>
          </w:tcPr>
          <w:p w14:paraId="498FDED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w:t>
            </w:r>
          </w:p>
        </w:tc>
        <w:tc>
          <w:tcPr>
            <w:tcW w:w="1395" w:type="dxa"/>
            <w:vAlign w:val="center"/>
          </w:tcPr>
          <w:p w14:paraId="7683AA1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0.31</w:t>
            </w:r>
          </w:p>
        </w:tc>
        <w:tc>
          <w:tcPr>
            <w:tcW w:w="1425" w:type="dxa"/>
            <w:vAlign w:val="center"/>
          </w:tcPr>
          <w:p w14:paraId="5741160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0.031</w:t>
            </w:r>
          </w:p>
        </w:tc>
        <w:tc>
          <w:tcPr>
            <w:tcW w:w="1305" w:type="dxa"/>
            <w:vAlign w:val="center"/>
          </w:tcPr>
          <w:p w14:paraId="17234B9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0.115</w:t>
            </w:r>
          </w:p>
        </w:tc>
        <w:tc>
          <w:tcPr>
            <w:tcW w:w="1351" w:type="dxa"/>
            <w:vAlign w:val="center"/>
          </w:tcPr>
          <w:p w14:paraId="32B8DFD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0.003565</w:t>
            </w:r>
          </w:p>
        </w:tc>
      </w:tr>
      <w:tr w14:paraId="5FAE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05" w:type="dxa"/>
            <w:vAlign w:val="center"/>
          </w:tcPr>
          <w:p w14:paraId="6128496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6285" w:type="dxa"/>
            <w:vAlign w:val="top"/>
          </w:tcPr>
          <w:p w14:paraId="49FB955C">
            <w:pPr>
              <w:keepNext w:val="0"/>
              <w:keepLines w:val="0"/>
              <w:widowControl/>
              <w:suppressLineNumbers w:val="0"/>
              <w:jc w:val="both"/>
              <w:textAlignment w:val="top"/>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决策的其他外部影响是否会引发社会矛盾和冲突</w:t>
            </w:r>
          </w:p>
        </w:tc>
        <w:tc>
          <w:tcPr>
            <w:tcW w:w="1425" w:type="dxa"/>
            <w:vAlign w:val="center"/>
          </w:tcPr>
          <w:p w14:paraId="12B7C97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0.25</w:t>
            </w:r>
          </w:p>
        </w:tc>
        <w:tc>
          <w:tcPr>
            <w:tcW w:w="1395" w:type="dxa"/>
            <w:vAlign w:val="center"/>
          </w:tcPr>
          <w:p w14:paraId="6468F53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0.46</w:t>
            </w:r>
          </w:p>
        </w:tc>
        <w:tc>
          <w:tcPr>
            <w:tcW w:w="1425" w:type="dxa"/>
            <w:vAlign w:val="center"/>
          </w:tcPr>
          <w:p w14:paraId="5ACFD0D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0.115</w:t>
            </w:r>
          </w:p>
        </w:tc>
        <w:tc>
          <w:tcPr>
            <w:tcW w:w="1305" w:type="dxa"/>
            <w:vAlign w:val="center"/>
          </w:tcPr>
          <w:p w14:paraId="47DA646B">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0.106</w:t>
            </w:r>
          </w:p>
        </w:tc>
        <w:tc>
          <w:tcPr>
            <w:tcW w:w="1351" w:type="dxa"/>
            <w:vAlign w:val="center"/>
          </w:tcPr>
          <w:p w14:paraId="1BBABF7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0.01219</w:t>
            </w:r>
          </w:p>
        </w:tc>
      </w:tr>
      <w:tr w14:paraId="4F4D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5D7D9B0B">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6285" w:type="dxa"/>
            <w:vAlign w:val="top"/>
          </w:tcPr>
          <w:p w14:paraId="4BEE5379">
            <w:pPr>
              <w:keepNext w:val="0"/>
              <w:keepLines w:val="0"/>
              <w:widowControl/>
              <w:suppressLineNumbers w:val="0"/>
              <w:jc w:val="both"/>
              <w:textAlignment w:val="top"/>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是否充分考虑到时间、空间、人力、物力、财力等制约因素</w:t>
            </w:r>
          </w:p>
        </w:tc>
        <w:tc>
          <w:tcPr>
            <w:tcW w:w="1425" w:type="dxa"/>
            <w:vAlign w:val="center"/>
          </w:tcPr>
          <w:p w14:paraId="38E2806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0.39</w:t>
            </w:r>
          </w:p>
        </w:tc>
        <w:tc>
          <w:tcPr>
            <w:tcW w:w="1395" w:type="dxa"/>
            <w:vAlign w:val="center"/>
          </w:tcPr>
          <w:p w14:paraId="419D761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0.48</w:t>
            </w:r>
          </w:p>
        </w:tc>
        <w:tc>
          <w:tcPr>
            <w:tcW w:w="1425" w:type="dxa"/>
            <w:vAlign w:val="center"/>
          </w:tcPr>
          <w:p w14:paraId="747794D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0.187</w:t>
            </w:r>
          </w:p>
        </w:tc>
        <w:tc>
          <w:tcPr>
            <w:tcW w:w="1305" w:type="dxa"/>
            <w:vAlign w:val="center"/>
          </w:tcPr>
          <w:p w14:paraId="729E194C">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0.109</w:t>
            </w:r>
          </w:p>
        </w:tc>
        <w:tc>
          <w:tcPr>
            <w:tcW w:w="1351" w:type="dxa"/>
            <w:vAlign w:val="center"/>
          </w:tcPr>
          <w:p w14:paraId="26059A47">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0.020383</w:t>
            </w:r>
          </w:p>
        </w:tc>
      </w:tr>
      <w:tr w14:paraId="547D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0CAF3157">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6285" w:type="dxa"/>
            <w:vAlign w:val="top"/>
          </w:tcPr>
          <w:p w14:paraId="623688CE">
            <w:pPr>
              <w:keepNext w:val="0"/>
              <w:keepLines w:val="0"/>
              <w:widowControl/>
              <w:suppressLineNumbers w:val="0"/>
              <w:jc w:val="both"/>
              <w:textAlignment w:val="top"/>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决策方案是否具体、详实，配套措施是否完善</w:t>
            </w:r>
          </w:p>
        </w:tc>
        <w:tc>
          <w:tcPr>
            <w:tcW w:w="1425" w:type="dxa"/>
            <w:vAlign w:val="center"/>
          </w:tcPr>
          <w:p w14:paraId="123769B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0.33</w:t>
            </w:r>
          </w:p>
        </w:tc>
        <w:tc>
          <w:tcPr>
            <w:tcW w:w="1395" w:type="dxa"/>
            <w:vAlign w:val="center"/>
          </w:tcPr>
          <w:p w14:paraId="5785BD1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0.4</w:t>
            </w:r>
          </w:p>
        </w:tc>
        <w:tc>
          <w:tcPr>
            <w:tcW w:w="1425" w:type="dxa"/>
            <w:vAlign w:val="center"/>
          </w:tcPr>
          <w:p w14:paraId="719DD1E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0.132</w:t>
            </w:r>
          </w:p>
        </w:tc>
        <w:tc>
          <w:tcPr>
            <w:tcW w:w="1305" w:type="dxa"/>
            <w:vAlign w:val="center"/>
          </w:tcPr>
          <w:p w14:paraId="2230595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0.102</w:t>
            </w:r>
          </w:p>
        </w:tc>
        <w:tc>
          <w:tcPr>
            <w:tcW w:w="1351" w:type="dxa"/>
            <w:vAlign w:val="center"/>
          </w:tcPr>
          <w:p w14:paraId="500511B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0.013464</w:t>
            </w:r>
          </w:p>
        </w:tc>
      </w:tr>
      <w:tr w14:paraId="1B98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5" w:type="dxa"/>
            <w:vAlign w:val="center"/>
          </w:tcPr>
          <w:p w14:paraId="40C024E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6285" w:type="dxa"/>
            <w:vAlign w:val="top"/>
          </w:tcPr>
          <w:p w14:paraId="44AD9F62">
            <w:pPr>
              <w:keepNext w:val="0"/>
              <w:keepLines w:val="0"/>
              <w:widowControl/>
              <w:suppressLineNumbers w:val="0"/>
              <w:jc w:val="both"/>
              <w:textAlignment w:val="top"/>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是否引发失业率增加</w:t>
            </w:r>
          </w:p>
        </w:tc>
        <w:tc>
          <w:tcPr>
            <w:tcW w:w="1425" w:type="dxa"/>
            <w:vAlign w:val="center"/>
          </w:tcPr>
          <w:p w14:paraId="4955BF5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0.46</w:t>
            </w:r>
          </w:p>
        </w:tc>
        <w:tc>
          <w:tcPr>
            <w:tcW w:w="1395" w:type="dxa"/>
            <w:vAlign w:val="center"/>
          </w:tcPr>
          <w:p w14:paraId="42D8DD9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0.33</w:t>
            </w:r>
          </w:p>
        </w:tc>
        <w:tc>
          <w:tcPr>
            <w:tcW w:w="1425" w:type="dxa"/>
            <w:vAlign w:val="center"/>
          </w:tcPr>
          <w:p w14:paraId="7F27FB5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0.152</w:t>
            </w:r>
          </w:p>
        </w:tc>
        <w:tc>
          <w:tcPr>
            <w:tcW w:w="1305" w:type="dxa"/>
            <w:vAlign w:val="center"/>
          </w:tcPr>
          <w:p w14:paraId="12A451B7">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0.115</w:t>
            </w:r>
          </w:p>
        </w:tc>
        <w:tc>
          <w:tcPr>
            <w:tcW w:w="1351" w:type="dxa"/>
            <w:vAlign w:val="center"/>
          </w:tcPr>
          <w:p w14:paraId="35C8C27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0.01748</w:t>
            </w:r>
          </w:p>
        </w:tc>
      </w:tr>
      <w:tr w14:paraId="08F2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265FF50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6285" w:type="dxa"/>
            <w:vAlign w:val="top"/>
          </w:tcPr>
          <w:p w14:paraId="74780DB8">
            <w:pPr>
              <w:keepNext w:val="0"/>
              <w:keepLines w:val="0"/>
              <w:widowControl/>
              <w:suppressLineNumbers w:val="0"/>
              <w:jc w:val="both"/>
              <w:textAlignment w:val="top"/>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是否导致新的收入分配不公、贫富差距加大</w:t>
            </w:r>
          </w:p>
        </w:tc>
        <w:tc>
          <w:tcPr>
            <w:tcW w:w="1425" w:type="dxa"/>
            <w:vAlign w:val="center"/>
          </w:tcPr>
          <w:p w14:paraId="46C1668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0.47</w:t>
            </w:r>
          </w:p>
        </w:tc>
        <w:tc>
          <w:tcPr>
            <w:tcW w:w="1395" w:type="dxa"/>
            <w:vAlign w:val="center"/>
          </w:tcPr>
          <w:p w14:paraId="7380D6A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0.48</w:t>
            </w:r>
          </w:p>
        </w:tc>
        <w:tc>
          <w:tcPr>
            <w:tcW w:w="1425" w:type="dxa"/>
            <w:vAlign w:val="center"/>
          </w:tcPr>
          <w:p w14:paraId="5323BA4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0.226</w:t>
            </w:r>
          </w:p>
        </w:tc>
        <w:tc>
          <w:tcPr>
            <w:tcW w:w="1305" w:type="dxa"/>
            <w:vAlign w:val="center"/>
          </w:tcPr>
          <w:p w14:paraId="198E9B8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0.114</w:t>
            </w:r>
          </w:p>
        </w:tc>
        <w:tc>
          <w:tcPr>
            <w:tcW w:w="1351" w:type="dxa"/>
            <w:vAlign w:val="center"/>
          </w:tcPr>
          <w:p w14:paraId="01999D90">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0.025764</w:t>
            </w:r>
          </w:p>
        </w:tc>
      </w:tr>
      <w:tr w14:paraId="01F7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6B57BBA2">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6285" w:type="dxa"/>
            <w:vAlign w:val="top"/>
          </w:tcPr>
          <w:p w14:paraId="2754C820">
            <w:pPr>
              <w:keepNext w:val="0"/>
              <w:keepLines w:val="0"/>
              <w:widowControl/>
              <w:suppressLineNumbers w:val="0"/>
              <w:jc w:val="both"/>
              <w:textAlignment w:val="top"/>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政府监管水平</w:t>
            </w:r>
          </w:p>
        </w:tc>
        <w:tc>
          <w:tcPr>
            <w:tcW w:w="1425" w:type="dxa"/>
            <w:vAlign w:val="center"/>
          </w:tcPr>
          <w:p w14:paraId="6AED186E">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0.38</w:t>
            </w:r>
          </w:p>
        </w:tc>
        <w:tc>
          <w:tcPr>
            <w:tcW w:w="1395" w:type="dxa"/>
            <w:vAlign w:val="center"/>
          </w:tcPr>
          <w:p w14:paraId="316BC52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0.44</w:t>
            </w:r>
          </w:p>
        </w:tc>
        <w:tc>
          <w:tcPr>
            <w:tcW w:w="1425" w:type="dxa"/>
            <w:vAlign w:val="center"/>
          </w:tcPr>
          <w:p w14:paraId="2F4F799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0.167</w:t>
            </w:r>
          </w:p>
        </w:tc>
        <w:tc>
          <w:tcPr>
            <w:tcW w:w="1305" w:type="dxa"/>
            <w:vAlign w:val="center"/>
          </w:tcPr>
          <w:p w14:paraId="44201DBA">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0.107</w:t>
            </w:r>
          </w:p>
        </w:tc>
        <w:tc>
          <w:tcPr>
            <w:tcW w:w="1351" w:type="dxa"/>
            <w:vAlign w:val="center"/>
          </w:tcPr>
          <w:p w14:paraId="2D13FC72">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0.017869</w:t>
            </w:r>
          </w:p>
        </w:tc>
      </w:tr>
      <w:tr w14:paraId="437A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702088E2">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6285" w:type="dxa"/>
            <w:vAlign w:val="top"/>
          </w:tcPr>
          <w:p w14:paraId="56083926">
            <w:pPr>
              <w:keepNext w:val="0"/>
              <w:keepLines w:val="0"/>
              <w:widowControl/>
              <w:suppressLineNumbers w:val="0"/>
              <w:jc w:val="both"/>
              <w:textAlignment w:val="top"/>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舆论宣传引导、网络打防管控能力及对负面舆论、恶意炒作应对能力</w:t>
            </w:r>
          </w:p>
        </w:tc>
        <w:tc>
          <w:tcPr>
            <w:tcW w:w="1425" w:type="dxa"/>
            <w:vAlign w:val="center"/>
          </w:tcPr>
          <w:p w14:paraId="63ED5AB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0.2</w:t>
            </w:r>
          </w:p>
        </w:tc>
        <w:tc>
          <w:tcPr>
            <w:tcW w:w="1395" w:type="dxa"/>
            <w:vAlign w:val="center"/>
          </w:tcPr>
          <w:p w14:paraId="726902E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0.29</w:t>
            </w:r>
          </w:p>
        </w:tc>
        <w:tc>
          <w:tcPr>
            <w:tcW w:w="1425" w:type="dxa"/>
            <w:vAlign w:val="center"/>
          </w:tcPr>
          <w:p w14:paraId="435B8B0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0.058</w:t>
            </w:r>
          </w:p>
        </w:tc>
        <w:tc>
          <w:tcPr>
            <w:tcW w:w="1305" w:type="dxa"/>
            <w:vAlign w:val="center"/>
          </w:tcPr>
          <w:p w14:paraId="0D2B9B6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0.120</w:t>
            </w:r>
          </w:p>
        </w:tc>
        <w:tc>
          <w:tcPr>
            <w:tcW w:w="1351" w:type="dxa"/>
            <w:vAlign w:val="center"/>
          </w:tcPr>
          <w:p w14:paraId="4F668761">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0.00696</w:t>
            </w:r>
          </w:p>
        </w:tc>
      </w:tr>
      <w:tr w14:paraId="1FE7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6C3E468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6285" w:type="dxa"/>
            <w:vAlign w:val="top"/>
          </w:tcPr>
          <w:p w14:paraId="6660CABB">
            <w:pPr>
              <w:keepNext w:val="0"/>
              <w:keepLines w:val="0"/>
              <w:widowControl/>
              <w:suppressLineNumbers w:val="0"/>
              <w:jc w:val="both"/>
              <w:textAlignment w:val="top"/>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政府各职能部门信息沟通渠道是否畅通</w:t>
            </w:r>
          </w:p>
        </w:tc>
        <w:tc>
          <w:tcPr>
            <w:tcW w:w="1425" w:type="dxa"/>
            <w:vAlign w:val="center"/>
          </w:tcPr>
          <w:p w14:paraId="2ADFBC0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0.38</w:t>
            </w:r>
          </w:p>
        </w:tc>
        <w:tc>
          <w:tcPr>
            <w:tcW w:w="1395" w:type="dxa"/>
            <w:vAlign w:val="center"/>
          </w:tcPr>
          <w:p w14:paraId="67BFCD6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0.36</w:t>
            </w:r>
          </w:p>
        </w:tc>
        <w:tc>
          <w:tcPr>
            <w:tcW w:w="1425" w:type="dxa"/>
            <w:vAlign w:val="center"/>
          </w:tcPr>
          <w:p w14:paraId="46A6BC8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0.137</w:t>
            </w:r>
          </w:p>
        </w:tc>
        <w:tc>
          <w:tcPr>
            <w:tcW w:w="1305" w:type="dxa"/>
            <w:vAlign w:val="center"/>
          </w:tcPr>
          <w:p w14:paraId="5BA3E0A1">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0.112</w:t>
            </w:r>
          </w:p>
        </w:tc>
        <w:tc>
          <w:tcPr>
            <w:tcW w:w="1351" w:type="dxa"/>
            <w:vAlign w:val="center"/>
          </w:tcPr>
          <w:p w14:paraId="3DA64FBC">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0.015344</w:t>
            </w:r>
          </w:p>
        </w:tc>
      </w:tr>
      <w:tr w14:paraId="72F5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990" w:type="dxa"/>
            <w:gridSpan w:val="2"/>
            <w:vAlign w:val="center"/>
          </w:tcPr>
          <w:p w14:paraId="12C70CD0">
            <w:pPr>
              <w:keepNext w:val="0"/>
              <w:keepLines w:val="0"/>
              <w:widowControl/>
              <w:suppressLineNumbers w:val="0"/>
              <w:jc w:val="both"/>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汇总</w:t>
            </w:r>
          </w:p>
        </w:tc>
        <w:tc>
          <w:tcPr>
            <w:tcW w:w="1425" w:type="dxa"/>
            <w:vAlign w:val="center"/>
          </w:tcPr>
          <w:p w14:paraId="2015B18A">
            <w:pPr>
              <w:jc w:val="center"/>
              <w:rPr>
                <w:rFonts w:hint="default" w:ascii="Times New Roman" w:hAnsi="Times New Roman" w:eastAsia="宋体" w:cs="Times New Roman"/>
                <w:sz w:val="21"/>
                <w:szCs w:val="21"/>
              </w:rPr>
            </w:pPr>
          </w:p>
        </w:tc>
        <w:tc>
          <w:tcPr>
            <w:tcW w:w="1395" w:type="dxa"/>
            <w:vAlign w:val="center"/>
          </w:tcPr>
          <w:p w14:paraId="464F3336">
            <w:pPr>
              <w:jc w:val="center"/>
              <w:rPr>
                <w:rFonts w:hint="default" w:ascii="Times New Roman" w:hAnsi="Times New Roman" w:eastAsia="宋体" w:cs="Times New Roman"/>
                <w:sz w:val="21"/>
                <w:szCs w:val="21"/>
              </w:rPr>
            </w:pPr>
          </w:p>
        </w:tc>
        <w:tc>
          <w:tcPr>
            <w:tcW w:w="1425" w:type="dxa"/>
            <w:vAlign w:val="center"/>
          </w:tcPr>
          <w:p w14:paraId="12E03A11">
            <w:pPr>
              <w:jc w:val="center"/>
              <w:rPr>
                <w:rFonts w:hint="default" w:ascii="Times New Roman" w:hAnsi="Times New Roman" w:eastAsia="宋体" w:cs="Times New Roman"/>
                <w:sz w:val="21"/>
                <w:szCs w:val="21"/>
              </w:rPr>
            </w:pPr>
          </w:p>
        </w:tc>
        <w:tc>
          <w:tcPr>
            <w:tcW w:w="1305" w:type="dxa"/>
            <w:vAlign w:val="center"/>
          </w:tcPr>
          <w:p w14:paraId="2FEB8AB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51" w:type="dxa"/>
            <w:vAlign w:val="center"/>
          </w:tcPr>
          <w:p w14:paraId="2B18CB55">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0.133019</w:t>
            </w:r>
          </w:p>
        </w:tc>
      </w:tr>
    </w:tbl>
    <w:p w14:paraId="76AAD1B4">
      <w:pPr>
        <w:ind w:firstLine="420" w:firstLineChars="200"/>
        <w:rPr>
          <w:rFonts w:hint="default" w:ascii="Times New Roman" w:hAnsi="Times New Roman" w:eastAsia="仿宋" w:cs="Times New Roman"/>
          <w:kern w:val="0"/>
          <w:szCs w:val="21"/>
        </w:rPr>
      </w:pPr>
      <w:r>
        <w:rPr>
          <w:rFonts w:hint="default" w:ascii="Times New Roman" w:hAnsi="Times New Roman" w:eastAsia="仿宋" w:cs="Times New Roman"/>
          <w:kern w:val="0"/>
          <w:szCs w:val="21"/>
        </w:rPr>
        <w:t>注：1、风险因素权重作归一化处理。2、风险概率（p），按照风险因素发生的可能性将概率划分为五个档次，很高(概率在81%-100%)、较高(概率在61%-80%)、中等(概率在41%-60%)、较低(概率在21%-40%)、很低(概率在0-20%)，可依据经验或预测进行确定。3、影响程度（q），按照风险发生后对工程的影响大小，划分为五个影响等级，严重（定量判断标准81%-100%）、较大（定量判断标准61%-80%）、中等（定量判断标准41%-60%）、较小（定量判断标准21%-40%）、可忽略（定量判断标准0-20%）。4、风险程度（R），具体数值根据本项目特点，结合项目所在地的经济社会发展状况与项目适应性确定，可分为重大（定量判断标准为：R＞0.64）、较大（定量判断标准为0.64≥R＞0.36）、一般（定量判断标准为0.36≥R＞0.16）、较小（定量判断标准为0.16≥R＞0.04）、微小（定量判断标准为0.04≥R≥0）五个等级。</w:t>
      </w:r>
    </w:p>
    <w:p w14:paraId="15E2C7A2">
      <w:pPr>
        <w:rPr>
          <w:rFonts w:hint="default" w:ascii="Times New Roman" w:hAnsi="Times New Roman" w:cs="Times New Roman"/>
        </w:rPr>
        <w:sectPr>
          <w:pgSz w:w="16838" w:h="11906" w:orient="landscape"/>
          <w:pgMar w:top="1800" w:right="1440" w:bottom="1800" w:left="1440" w:header="851" w:footer="992" w:gutter="0"/>
          <w:cols w:space="425" w:num="1"/>
          <w:docGrid w:type="lines" w:linePitch="312" w:charSpace="0"/>
        </w:sectPr>
      </w:pPr>
    </w:p>
    <w:p w14:paraId="0E79C594">
      <w:pPr>
        <w:spacing w:line="56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（六）落实风险防范、化解的有关建议</w:t>
      </w:r>
    </w:p>
    <w:p w14:paraId="0A975F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加强组织领导。成立由莱山区教育和体育局牵头，政府办、宣传部、公安局、司法局、发改委、经信委、信访局、民政局、文化局等党政机构和其它相关职能部门参加的《规划》决策与实施联席会议，统筹安排此项工作；</w:t>
      </w:r>
    </w:p>
    <w:p w14:paraId="1037BD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建立社会稳定风险预警制度。编制应急预案，控制风险事件，将不稳定因素的影响控制在最小范围内；构建合理、畅通的风险管理联动机制，化解社会矛盾与冲突；加强舆情监控，严防少数不怀好意的人乘机鼓动、破坏安定团结的大好局面；</w:t>
      </w:r>
    </w:p>
    <w:p w14:paraId="510C3A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建立《规划》决策社会稳定风险处置预案。预案应包括工作原则、指挥体系、信息预警、应急响应、应急措施等内容；</w:t>
      </w:r>
    </w:p>
    <w:p w14:paraId="18A2DA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加强舆论宣传工作。动员各类媒体，利用社区黑板报、及时公布项目进展情况</w:t>
      </w:r>
      <w:r>
        <w:rPr>
          <w:rFonts w:hint="default" w:ascii="Times New Roman" w:hAnsi="Times New Roman" w:eastAsia="仿宋_GB2312" w:cs="Times New Roman"/>
          <w:sz w:val="32"/>
          <w:szCs w:val="32"/>
          <w:lang w:eastAsia="zh-CN"/>
        </w:rPr>
        <w:t>。</w:t>
      </w:r>
    </w:p>
    <w:p w14:paraId="09E4D347">
      <w:pPr>
        <w:spacing w:line="560" w:lineRule="exact"/>
        <w:ind w:firstLine="560" w:firstLineChars="200"/>
        <w:rPr>
          <w:rFonts w:hint="default" w:ascii="Times New Roman" w:hAnsi="Times New Roman" w:cs="Times New Roman" w:eastAsiaTheme="minorEastAsia"/>
          <w:sz w:val="28"/>
          <w:szCs w:val="28"/>
          <w:lang w:eastAsia="zh-CN"/>
        </w:rPr>
      </w:pPr>
    </w:p>
    <w:p w14:paraId="286D2797">
      <w:pPr>
        <w:spacing w:line="560" w:lineRule="exact"/>
        <w:ind w:firstLine="560" w:firstLineChars="200"/>
        <w:rPr>
          <w:rFonts w:hint="default" w:ascii="Times New Roman" w:hAnsi="Times New Roman" w:cs="Times New Roman" w:eastAsiaTheme="minorEastAsia"/>
          <w:sz w:val="28"/>
          <w:szCs w:val="28"/>
          <w:lang w:eastAsia="zh-CN"/>
        </w:rPr>
      </w:pPr>
    </w:p>
    <w:p w14:paraId="7D22F8BA">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default" w:ascii="Times New Roman" w:hAnsi="Times New Roman" w:eastAsia="仿宋_GB2312" w:cs="Times New Roman"/>
          <w:sz w:val="32"/>
          <w:szCs w:val="32"/>
          <w:lang w:val="en-US" w:eastAsia="zh-CN"/>
        </w:rPr>
      </w:pPr>
      <w:bookmarkStart w:id="0" w:name="_GoBack"/>
      <w:bookmarkEnd w:id="0"/>
      <w:r>
        <w:rPr>
          <w:rFonts w:hint="eastAsia" w:ascii="Times New Roman" w:hAnsi="Times New Roman" w:eastAsia="仿宋_GB2312" w:cs="Times New Roman"/>
          <w:sz w:val="32"/>
          <w:szCs w:val="32"/>
          <w:lang w:val="en-US" w:eastAsia="zh-CN"/>
        </w:rPr>
        <w:t>烟台市</w:t>
      </w:r>
      <w:r>
        <w:rPr>
          <w:rFonts w:hint="default" w:ascii="Times New Roman" w:hAnsi="Times New Roman" w:eastAsia="仿宋_GB2312" w:cs="Times New Roman"/>
          <w:sz w:val="32"/>
          <w:szCs w:val="32"/>
          <w:lang w:val="en-US" w:eastAsia="zh-CN"/>
        </w:rPr>
        <w:t>莱山区</w:t>
      </w:r>
      <w:r>
        <w:rPr>
          <w:rFonts w:hint="eastAsia" w:ascii="Times New Roman" w:hAnsi="Times New Roman" w:eastAsia="仿宋_GB2312" w:cs="Times New Roman"/>
          <w:sz w:val="32"/>
          <w:szCs w:val="32"/>
          <w:lang w:val="en-US" w:eastAsia="zh-CN"/>
        </w:rPr>
        <w:t>农业农村局</w:t>
      </w:r>
    </w:p>
    <w:p w14:paraId="3D5C4983">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年11月</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日</w:t>
      </w:r>
    </w:p>
    <w:p w14:paraId="370DD8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02008FBA">
      <w:pPr>
        <w:rPr>
          <w:rFonts w:hint="default" w:ascii="Times New Roman" w:hAnsi="Times New Roman" w:cs="Times New Roman"/>
        </w:rPr>
      </w:pPr>
    </w:p>
    <w:p w14:paraId="68E46847">
      <w:pPr>
        <w:rPr>
          <w:rFonts w:hint="default" w:ascii="Times New Roman" w:hAnsi="Times New Roman" w:cs="Times New Roman"/>
        </w:rPr>
      </w:pPr>
    </w:p>
    <w:p w14:paraId="55BAD02F">
      <w:pPr>
        <w:rPr>
          <w:rFonts w:hint="default" w:ascii="Times New Roman" w:hAnsi="Times New Roman" w:cs="Times New Roman"/>
        </w:rPr>
      </w:pPr>
    </w:p>
    <w:p w14:paraId="3859A8F4">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35BAA">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1271AF0">
                          <w:pPr>
                            <w:pStyle w:val="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1271AF0">
                    <w:pPr>
                      <w:pStyle w:val="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A86B04"/>
    <w:rsid w:val="05B43EFA"/>
    <w:rsid w:val="064D2DDD"/>
    <w:rsid w:val="0ABD309F"/>
    <w:rsid w:val="100476C7"/>
    <w:rsid w:val="126B11AC"/>
    <w:rsid w:val="13923F34"/>
    <w:rsid w:val="14401329"/>
    <w:rsid w:val="1552626E"/>
    <w:rsid w:val="1758473C"/>
    <w:rsid w:val="19B0343C"/>
    <w:rsid w:val="1B141A82"/>
    <w:rsid w:val="211B590A"/>
    <w:rsid w:val="24347044"/>
    <w:rsid w:val="26E4167B"/>
    <w:rsid w:val="2D5002A1"/>
    <w:rsid w:val="2FE90BA2"/>
    <w:rsid w:val="30F8214A"/>
    <w:rsid w:val="31A86B04"/>
    <w:rsid w:val="32C024F9"/>
    <w:rsid w:val="343C18E1"/>
    <w:rsid w:val="408D4932"/>
    <w:rsid w:val="40C81A57"/>
    <w:rsid w:val="427D6253"/>
    <w:rsid w:val="4376794A"/>
    <w:rsid w:val="44422E16"/>
    <w:rsid w:val="48BC65F2"/>
    <w:rsid w:val="48D848B8"/>
    <w:rsid w:val="4E4E7B1B"/>
    <w:rsid w:val="52B32C3B"/>
    <w:rsid w:val="56476F85"/>
    <w:rsid w:val="579557F2"/>
    <w:rsid w:val="58603B2D"/>
    <w:rsid w:val="58F8086B"/>
    <w:rsid w:val="5C8C2F4D"/>
    <w:rsid w:val="5F8438E5"/>
    <w:rsid w:val="5FE91F79"/>
    <w:rsid w:val="63D67989"/>
    <w:rsid w:val="65B13105"/>
    <w:rsid w:val="6B77617A"/>
    <w:rsid w:val="6F8160EE"/>
    <w:rsid w:val="71DA0690"/>
    <w:rsid w:val="72730276"/>
    <w:rsid w:val="756270D4"/>
    <w:rsid w:val="764C107D"/>
    <w:rsid w:val="7676532B"/>
    <w:rsid w:val="7CAF24CF"/>
    <w:rsid w:val="7EDB30B5"/>
    <w:rsid w:val="7F631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autoRedefine/>
    <w:qFormat/>
    <w:uiPriority w:val="0"/>
    <w:pPr>
      <w:keepNext/>
      <w:keepLines/>
      <w:spacing w:line="360" w:lineRule="auto"/>
      <w:ind w:firstLine="0" w:firstLineChars="0"/>
      <w:outlineLvl w:val="0"/>
    </w:pPr>
    <w:rPr>
      <w:rFonts w:ascii="Times New Roman" w:hAnsi="Times New Roman" w:eastAsia="宋体"/>
      <w:b/>
      <w:bCs/>
      <w:kern w:val="44"/>
      <w:sz w:val="36"/>
      <w:szCs w:val="44"/>
      <w:lang w:eastAsia="zh-CN"/>
    </w:rPr>
  </w:style>
  <w:style w:type="paragraph" w:styleId="3">
    <w:name w:val="heading 2"/>
    <w:basedOn w:val="1"/>
    <w:next w:val="1"/>
    <w:link w:val="14"/>
    <w:semiHidden/>
    <w:unhideWhenUsed/>
    <w:qFormat/>
    <w:uiPriority w:val="0"/>
    <w:pPr>
      <w:widowControl w:val="0"/>
      <w:tabs>
        <w:tab w:val="left" w:pos="941"/>
      </w:tabs>
      <w:adjustRightInd/>
      <w:snapToGrid/>
      <w:spacing w:line="360" w:lineRule="auto"/>
      <w:ind w:firstLine="0" w:firstLineChars="0"/>
      <w:jc w:val="both"/>
      <w:outlineLvl w:val="1"/>
    </w:pPr>
    <w:rPr>
      <w:rFonts w:ascii="Times New Roman" w:hAnsi="Times New Roman" w:eastAsia="宋体" w:cs="Times New Roman"/>
      <w:b/>
      <w:kern w:val="2"/>
      <w:sz w:val="32"/>
      <w:szCs w:val="21"/>
      <w:lang w:eastAsia="zh-CN"/>
    </w:rPr>
  </w:style>
  <w:style w:type="paragraph" w:styleId="4">
    <w:name w:val="heading 3"/>
    <w:basedOn w:val="1"/>
    <w:next w:val="1"/>
    <w:link w:val="13"/>
    <w:semiHidden/>
    <w:unhideWhenUsed/>
    <w:qFormat/>
    <w:uiPriority w:val="0"/>
    <w:pPr>
      <w:keepNext/>
      <w:keepLines/>
      <w:spacing w:line="360" w:lineRule="auto"/>
      <w:outlineLvl w:val="2"/>
    </w:pPr>
    <w:rPr>
      <w:rFonts w:ascii="Times New Roman" w:hAnsi="Times New Roman" w:eastAsia="黑体" w:cs="Times New Roman"/>
      <w:b/>
      <w:bCs/>
      <w:kern w:val="2"/>
      <w:sz w:val="28"/>
      <w:szCs w:val="32"/>
      <w:lang w:eastAsia="zh-CN"/>
    </w:rPr>
  </w:style>
  <w:style w:type="paragraph" w:styleId="5">
    <w:name w:val="heading 4"/>
    <w:basedOn w:val="1"/>
    <w:next w:val="1"/>
    <w:link w:val="16"/>
    <w:autoRedefine/>
    <w:semiHidden/>
    <w:unhideWhenUsed/>
    <w:qFormat/>
    <w:uiPriority w:val="0"/>
    <w:pPr>
      <w:keepNext/>
      <w:keepLines/>
      <w:ind w:firstLine="0" w:firstLineChars="0"/>
      <w:outlineLvl w:val="3"/>
    </w:pPr>
    <w:rPr>
      <w:rFonts w:eastAsia="黑体" w:cs="Times New Roman"/>
      <w:b/>
      <w:bCs/>
      <w:szCs w:val="28"/>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6">
    <w:name w:val="Body Text Indent"/>
    <w:basedOn w:val="1"/>
    <w:qFormat/>
    <w:uiPriority w:val="0"/>
    <w:pPr>
      <w:spacing w:after="120" w:afterLines="0" w:afterAutospacing="0"/>
      <w:ind w:left="420" w:leftChars="200"/>
    </w:p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able of figures"/>
    <w:basedOn w:val="1"/>
    <w:next w:val="1"/>
    <w:autoRedefine/>
    <w:qFormat/>
    <w:uiPriority w:val="0"/>
    <w:pPr>
      <w:ind w:leftChars="200" w:hanging="200" w:hangingChars="200"/>
    </w:pPr>
  </w:style>
  <w:style w:type="paragraph" w:styleId="10">
    <w:name w:val="Body Text First Indent 2"/>
    <w:basedOn w:val="6"/>
    <w:autoRedefine/>
    <w:qFormat/>
    <w:uiPriority w:val="0"/>
    <w:pPr>
      <w:ind w:firstLine="420" w:firstLineChars="200"/>
    </w:pPr>
  </w:style>
  <w:style w:type="character" w:customStyle="1" w:styleId="13">
    <w:name w:val="标题 3 字符"/>
    <w:link w:val="4"/>
    <w:autoRedefine/>
    <w:qFormat/>
    <w:uiPriority w:val="9"/>
    <w:rPr>
      <w:rFonts w:ascii="Times New Roman" w:hAnsi="Times New Roman" w:eastAsia="黑体" w:cs="Times New Roman"/>
      <w:b/>
      <w:bCs/>
      <w:color w:val="000000"/>
      <w:kern w:val="2"/>
      <w:sz w:val="28"/>
      <w:szCs w:val="32"/>
      <w:lang w:val="en-US" w:eastAsia="zh-CN" w:bidi="ar-SA"/>
    </w:rPr>
  </w:style>
  <w:style w:type="character" w:customStyle="1" w:styleId="14">
    <w:name w:val="标题 2 字符"/>
    <w:link w:val="3"/>
    <w:autoRedefine/>
    <w:qFormat/>
    <w:uiPriority w:val="9"/>
    <w:rPr>
      <w:rFonts w:ascii="Times New Roman" w:hAnsi="Times New Roman" w:eastAsia="宋体" w:cs="Times New Roman"/>
      <w:b/>
      <w:kern w:val="2"/>
      <w:sz w:val="32"/>
      <w:szCs w:val="21"/>
      <w:lang w:val="en-US" w:eastAsia="zh-CN" w:bidi="ar-SA"/>
    </w:rPr>
  </w:style>
  <w:style w:type="character" w:customStyle="1" w:styleId="15">
    <w:name w:val="标题 1 字符"/>
    <w:link w:val="2"/>
    <w:autoRedefine/>
    <w:qFormat/>
    <w:uiPriority w:val="9"/>
    <w:rPr>
      <w:rFonts w:ascii="Times New Roman" w:hAnsi="Times New Roman" w:eastAsia="宋体" w:cs="Times New Roman"/>
      <w:b/>
      <w:bCs/>
      <w:color w:val="000000"/>
      <w:kern w:val="44"/>
      <w:sz w:val="32"/>
      <w:szCs w:val="44"/>
      <w:lang w:eastAsia="zh-CN"/>
    </w:rPr>
  </w:style>
  <w:style w:type="character" w:customStyle="1" w:styleId="16">
    <w:name w:val="标题 4 字符"/>
    <w:link w:val="5"/>
    <w:autoRedefine/>
    <w:qFormat/>
    <w:uiPriority w:val="9"/>
    <w:rPr>
      <w:rFonts w:ascii="Times New Roman" w:hAnsi="Times New Roman" w:eastAsia="黑体"/>
      <w:b/>
      <w:bCs/>
      <w:color w:val="000000"/>
      <w:kern w:val="2"/>
      <w:sz w:val="28"/>
      <w:szCs w:val="28"/>
    </w:rPr>
  </w:style>
  <w:style w:type="character" w:customStyle="1" w:styleId="17">
    <w:name w:val="font11"/>
    <w:basedOn w:val="12"/>
    <w:uiPriority w:val="0"/>
    <w:rPr>
      <w:rFonts w:hint="eastAsia" w:ascii="宋体" w:hAnsi="宋体" w:eastAsia="宋体" w:cs="宋体"/>
      <w:color w:val="000000"/>
      <w:sz w:val="18"/>
      <w:szCs w:val="18"/>
      <w:u w:val="none"/>
    </w:rPr>
  </w:style>
  <w:style w:type="character" w:customStyle="1" w:styleId="18">
    <w:name w:val="font21"/>
    <w:basedOn w:val="12"/>
    <w:uiPriority w:val="0"/>
    <w:rPr>
      <w:rFonts w:ascii="Calibri" w:hAnsi="Calibri" w:cs="Calibri"/>
      <w:color w:val="000000"/>
      <w:sz w:val="18"/>
      <w:szCs w:val="18"/>
      <w:u w:val="none"/>
    </w:rPr>
  </w:style>
  <w:style w:type="character" w:customStyle="1" w:styleId="19">
    <w:name w:val="font61"/>
    <w:basedOn w:val="12"/>
    <w:uiPriority w:val="0"/>
    <w:rPr>
      <w:rFonts w:ascii="Arial" w:hAnsi="Arial" w:cs="Arial"/>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387</Words>
  <Characters>404</Characters>
  <Lines>0</Lines>
  <Paragraphs>0</Paragraphs>
  <TotalTime>35</TotalTime>
  <ScaleCrop>false</ScaleCrop>
  <LinksUpToDate>false</LinksUpToDate>
  <CharactersWithSpaces>404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2025-11-07T02:48:00Z</dcterms:created>
  <dc:creator>。</dc:creator>
  <cp:lastModifiedBy>过生活。</cp:lastModifiedBy>
  <dcterms:modified xsi:type="dcterms:W3CDTF">2025-11-07T08:15:00Z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30DB15031FBD4EEF80F51A97232AE6ED_13</vt:lpwstr>
  </property>
  <property fmtid="{D5CDD505-2E9C-101B-9397-08002B2CF9AE}" pid="4" name="KSOTemplateDocerSaveRecord">
    <vt:lpwstr>eyJoZGlkIjoiNzNjMGZiM2I3NWNkMWY0ZDg3ZmNlMTVhYjdjMzU5MDkiLCJ1c2VySWQiOiIyNjA0NDM3MjQifQ==</vt:lpwstr>
  </property>
</Properties>
</file>