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61C43">
      <w:pPr>
        <w:keepNext w:val="0"/>
        <w:keepLines w:val="0"/>
        <w:pageBreakBefore w:val="0"/>
        <w:tabs>
          <w:tab w:val="left" w:pos="615"/>
          <w:tab w:val="center" w:pos="4564"/>
        </w:tabs>
        <w:kinsoku/>
        <w:wordWrap/>
        <w:overflowPunct/>
        <w:topLinePunct w:val="0"/>
        <w:autoSpaceDN/>
        <w:bidi w:val="0"/>
        <w:spacing w:line="560" w:lineRule="exact"/>
        <w:ind w:left="0" w:leftChars="0" w:firstLine="0" w:firstLineChars="0"/>
        <w:jc w:val="both"/>
        <w:outlineLvl w:val="0"/>
        <w:rPr>
          <w:rFonts w:hint="eastAsia" w:ascii="仿宋_GB2312" w:hAnsi="仿宋_GB2312" w:eastAsia="仿宋_GB2312" w:cs="仿宋_GB2312"/>
          <w:b w:val="0"/>
          <w:bCs w:val="0"/>
          <w:color w:val="auto"/>
          <w:spacing w:val="-8"/>
          <w:w w:val="90"/>
          <w:sz w:val="32"/>
          <w:szCs w:val="32"/>
          <w:highlight w:val="none"/>
          <w:lang w:val="en-US" w:eastAsia="zh-CN"/>
        </w:rPr>
      </w:pPr>
      <w:r>
        <w:rPr>
          <w:rFonts w:hint="eastAsia" w:ascii="仿宋_GB2312" w:hAnsi="仿宋_GB2312" w:eastAsia="仿宋_GB2312" w:cs="仿宋_GB2312"/>
          <w:b w:val="0"/>
          <w:bCs w:val="0"/>
          <w:color w:val="auto"/>
          <w:spacing w:val="-8"/>
          <w:w w:val="90"/>
          <w:sz w:val="32"/>
          <w:szCs w:val="32"/>
          <w:highlight w:val="none"/>
          <w:lang w:val="en-US" w:eastAsia="zh-CN"/>
        </w:rPr>
        <w:t>《莱山经开区烟台双子建设工程有限公司</w:t>
      </w:r>
      <w:r>
        <w:rPr>
          <w:rFonts w:hint="eastAsia" w:ascii="仿宋_GB2312" w:hAnsi="仿宋_GB2312" w:eastAsia="仿宋_GB2312" w:cs="仿宋_GB2312"/>
          <w:b w:val="0"/>
          <w:bCs w:val="0"/>
          <w:color w:val="auto"/>
          <w:spacing w:val="-8"/>
          <w:w w:val="90"/>
          <w:sz w:val="32"/>
          <w:szCs w:val="32"/>
          <w:highlight w:val="none"/>
        </w:rPr>
        <w:t>“</w:t>
      </w:r>
      <w:r>
        <w:rPr>
          <w:rFonts w:hint="eastAsia" w:ascii="仿宋_GB2312" w:hAnsi="仿宋_GB2312" w:eastAsia="仿宋_GB2312" w:cs="仿宋_GB2312"/>
          <w:b w:val="0"/>
          <w:bCs w:val="0"/>
          <w:color w:val="auto"/>
          <w:spacing w:val="-8"/>
          <w:w w:val="90"/>
          <w:sz w:val="32"/>
          <w:szCs w:val="32"/>
          <w:highlight w:val="none"/>
          <w:lang w:val="en-US" w:eastAsia="zh-CN"/>
        </w:rPr>
        <w:t>9·24</w:t>
      </w:r>
      <w:r>
        <w:rPr>
          <w:rFonts w:hint="eastAsia" w:ascii="仿宋_GB2312" w:hAnsi="仿宋_GB2312" w:eastAsia="仿宋_GB2312" w:cs="仿宋_GB2312"/>
          <w:b w:val="0"/>
          <w:bCs w:val="0"/>
          <w:color w:val="auto"/>
          <w:spacing w:val="-8"/>
          <w:w w:val="90"/>
          <w:sz w:val="32"/>
          <w:szCs w:val="32"/>
          <w:highlight w:val="none"/>
        </w:rPr>
        <w:t>”一般</w:t>
      </w:r>
      <w:r>
        <w:rPr>
          <w:rFonts w:hint="eastAsia" w:ascii="仿宋_GB2312" w:hAnsi="仿宋_GB2312" w:eastAsia="仿宋_GB2312" w:cs="仿宋_GB2312"/>
          <w:b w:val="0"/>
          <w:bCs w:val="0"/>
          <w:color w:val="auto"/>
          <w:spacing w:val="-8"/>
          <w:w w:val="90"/>
          <w:sz w:val="32"/>
          <w:szCs w:val="32"/>
          <w:highlight w:val="none"/>
          <w:lang w:val="en-US" w:eastAsia="zh-CN"/>
        </w:rPr>
        <w:t>物体打击</w:t>
      </w:r>
      <w:r>
        <w:rPr>
          <w:rFonts w:hint="eastAsia" w:ascii="仿宋_GB2312" w:hAnsi="仿宋_GB2312" w:eastAsia="仿宋_GB2312" w:cs="仿宋_GB2312"/>
          <w:b w:val="0"/>
          <w:bCs w:val="0"/>
          <w:color w:val="auto"/>
          <w:spacing w:val="-8"/>
          <w:w w:val="90"/>
          <w:sz w:val="32"/>
          <w:szCs w:val="32"/>
          <w:highlight w:val="none"/>
        </w:rPr>
        <w:t>事故调查</w:t>
      </w:r>
      <w:r>
        <w:rPr>
          <w:rFonts w:hint="eastAsia" w:ascii="仿宋_GB2312" w:hAnsi="仿宋_GB2312" w:eastAsia="仿宋_GB2312" w:cs="仿宋_GB2312"/>
          <w:b w:val="0"/>
          <w:bCs w:val="0"/>
          <w:color w:val="auto"/>
          <w:spacing w:val="-8"/>
          <w:w w:val="90"/>
          <w:sz w:val="32"/>
          <w:szCs w:val="32"/>
          <w:highlight w:val="none"/>
          <w:lang w:eastAsia="zh-CN"/>
        </w:rPr>
        <w:t>报告</w:t>
      </w:r>
      <w:r>
        <w:rPr>
          <w:rFonts w:hint="eastAsia" w:ascii="仿宋_GB2312" w:hAnsi="仿宋_GB2312" w:eastAsia="仿宋_GB2312" w:cs="仿宋_GB2312"/>
          <w:b w:val="0"/>
          <w:bCs w:val="0"/>
          <w:color w:val="auto"/>
          <w:spacing w:val="-8"/>
          <w:w w:val="90"/>
          <w:sz w:val="32"/>
          <w:szCs w:val="32"/>
          <w:highlight w:val="none"/>
          <w:lang w:val="en-US" w:eastAsia="zh-CN"/>
        </w:rPr>
        <w:t>》已于2024年12月31日经烟台市莱山区人民政府批复，且督促相关部门、单位进行了整改落实，依据有关规定，现予以公布。</w:t>
      </w:r>
    </w:p>
    <w:p w14:paraId="3B7C1DE9">
      <w:pPr>
        <w:keepNext w:val="0"/>
        <w:keepLines w:val="0"/>
        <w:pageBreakBefore w:val="0"/>
        <w:tabs>
          <w:tab w:val="left" w:pos="615"/>
          <w:tab w:val="center" w:pos="4564"/>
        </w:tabs>
        <w:kinsoku/>
        <w:wordWrap/>
        <w:overflowPunct/>
        <w:topLinePunct w:val="0"/>
        <w:autoSpaceDN/>
        <w:bidi w:val="0"/>
        <w:spacing w:line="560" w:lineRule="exact"/>
        <w:ind w:left="0" w:leftChars="0" w:firstLine="760" w:firstLineChars="200"/>
        <w:jc w:val="center"/>
        <w:rPr>
          <w:rFonts w:hint="eastAsia" w:ascii="方正小标宋简体" w:hAnsi="方正小标宋简体" w:eastAsia="方正小标宋简体" w:cs="方正小标宋简体"/>
          <w:b w:val="0"/>
          <w:bCs w:val="0"/>
          <w:color w:val="auto"/>
          <w:spacing w:val="-8"/>
          <w:w w:val="90"/>
          <w:sz w:val="44"/>
          <w:szCs w:val="44"/>
          <w:highlight w:val="none"/>
          <w:lang w:val="en-US" w:eastAsia="zh-CN"/>
        </w:rPr>
      </w:pPr>
    </w:p>
    <w:p w14:paraId="34532263">
      <w:pPr>
        <w:keepNext w:val="0"/>
        <w:keepLines w:val="0"/>
        <w:pageBreakBefore w:val="0"/>
        <w:tabs>
          <w:tab w:val="left" w:pos="615"/>
          <w:tab w:val="center" w:pos="4564"/>
        </w:tabs>
        <w:kinsoku/>
        <w:wordWrap/>
        <w:overflowPunct/>
        <w:topLinePunct w:val="0"/>
        <w:autoSpaceDN/>
        <w:bidi w:val="0"/>
        <w:spacing w:line="560" w:lineRule="exact"/>
        <w:ind w:left="0" w:leftChars="0" w:firstLine="0" w:firstLineChars="0"/>
        <w:jc w:val="center"/>
        <w:outlineLvl w:val="0"/>
        <w:rPr>
          <w:rFonts w:hint="eastAsia" w:ascii="方正小标宋简体" w:hAnsi="方正小标宋简体" w:eastAsia="方正小标宋简体" w:cs="方正小标宋简体"/>
          <w:b w:val="0"/>
          <w:bCs w:val="0"/>
          <w:color w:val="auto"/>
          <w:spacing w:val="-8"/>
          <w:w w:val="90"/>
          <w:sz w:val="44"/>
          <w:szCs w:val="44"/>
          <w:highlight w:val="none"/>
          <w:lang w:val="en-US" w:eastAsia="zh-CN"/>
        </w:rPr>
      </w:pPr>
      <w:bookmarkStart w:id="0" w:name="_Toc7137"/>
      <w:bookmarkStart w:id="1" w:name="_Toc27925"/>
      <w:bookmarkStart w:id="2" w:name="_Toc17086"/>
      <w:bookmarkStart w:id="3" w:name="_Toc21889"/>
      <w:r>
        <w:rPr>
          <w:rFonts w:hint="eastAsia" w:ascii="方正小标宋简体" w:hAnsi="方正小标宋简体" w:eastAsia="方正小标宋简体" w:cs="方正小标宋简体"/>
          <w:b w:val="0"/>
          <w:bCs w:val="0"/>
          <w:color w:val="auto"/>
          <w:spacing w:val="-8"/>
          <w:w w:val="90"/>
          <w:sz w:val="44"/>
          <w:szCs w:val="44"/>
          <w:highlight w:val="none"/>
          <w:lang w:val="en-US" w:eastAsia="zh-CN"/>
        </w:rPr>
        <w:t>莱山经开区烟台双子建设工程有限公司</w:t>
      </w:r>
      <w:bookmarkEnd w:id="0"/>
      <w:bookmarkEnd w:id="1"/>
      <w:bookmarkEnd w:id="2"/>
      <w:bookmarkEnd w:id="3"/>
    </w:p>
    <w:p w14:paraId="4C038019">
      <w:pPr>
        <w:keepNext w:val="0"/>
        <w:keepLines w:val="0"/>
        <w:pageBreakBefore w:val="0"/>
        <w:tabs>
          <w:tab w:val="left" w:pos="615"/>
          <w:tab w:val="center" w:pos="4564"/>
        </w:tabs>
        <w:kinsoku/>
        <w:wordWrap/>
        <w:overflowPunct/>
        <w:topLinePunct w:val="0"/>
        <w:autoSpaceDN/>
        <w:bidi w:val="0"/>
        <w:spacing w:line="560" w:lineRule="exact"/>
        <w:ind w:left="0" w:leftChars="0" w:firstLine="0" w:firstLineChars="0"/>
        <w:jc w:val="center"/>
        <w:rPr>
          <w:rFonts w:hint="eastAsia" w:ascii="方正小标宋简体" w:hAnsi="方正小标宋简体" w:eastAsia="方正小标宋简体" w:cs="方正小标宋简体"/>
          <w:b w:val="0"/>
          <w:bCs w:val="0"/>
          <w:color w:val="auto"/>
          <w:spacing w:val="-8"/>
          <w:w w:val="90"/>
          <w:sz w:val="44"/>
          <w:szCs w:val="44"/>
          <w:highlight w:val="none"/>
          <w:lang w:eastAsia="zh-CN"/>
        </w:rPr>
      </w:pPr>
      <w:r>
        <w:rPr>
          <w:rFonts w:hint="eastAsia" w:ascii="方正小标宋简体" w:hAnsi="方正小标宋简体" w:eastAsia="方正小标宋简体" w:cs="方正小标宋简体"/>
          <w:b w:val="0"/>
          <w:bCs w:val="0"/>
          <w:color w:val="auto"/>
          <w:spacing w:val="-8"/>
          <w:w w:val="90"/>
          <w:sz w:val="44"/>
          <w:szCs w:val="44"/>
          <w:highlight w:val="none"/>
        </w:rPr>
        <w:t>“</w:t>
      </w:r>
      <w:r>
        <w:rPr>
          <w:rFonts w:hint="eastAsia" w:ascii="方正小标宋简体" w:hAnsi="方正小标宋简体" w:eastAsia="方正小标宋简体" w:cs="方正小标宋简体"/>
          <w:b w:val="0"/>
          <w:bCs w:val="0"/>
          <w:color w:val="auto"/>
          <w:spacing w:val="-8"/>
          <w:w w:val="90"/>
          <w:sz w:val="44"/>
          <w:szCs w:val="44"/>
          <w:highlight w:val="none"/>
          <w:lang w:val="en-US" w:eastAsia="zh-CN"/>
        </w:rPr>
        <w:t>9·24</w:t>
      </w:r>
      <w:r>
        <w:rPr>
          <w:rFonts w:hint="eastAsia" w:ascii="方正小标宋简体" w:hAnsi="方正小标宋简体" w:eastAsia="方正小标宋简体" w:cs="方正小标宋简体"/>
          <w:b w:val="0"/>
          <w:bCs w:val="0"/>
          <w:color w:val="auto"/>
          <w:spacing w:val="-8"/>
          <w:w w:val="90"/>
          <w:sz w:val="44"/>
          <w:szCs w:val="44"/>
          <w:highlight w:val="none"/>
        </w:rPr>
        <w:t>”一般</w:t>
      </w:r>
      <w:r>
        <w:rPr>
          <w:rFonts w:hint="eastAsia" w:ascii="方正小标宋简体" w:hAnsi="方正小标宋简体" w:eastAsia="方正小标宋简体" w:cs="方正小标宋简体"/>
          <w:b w:val="0"/>
          <w:bCs w:val="0"/>
          <w:color w:val="auto"/>
          <w:spacing w:val="-8"/>
          <w:w w:val="90"/>
          <w:sz w:val="44"/>
          <w:szCs w:val="44"/>
          <w:highlight w:val="none"/>
          <w:lang w:val="en-US" w:eastAsia="zh-CN"/>
        </w:rPr>
        <w:t>物体打击</w:t>
      </w:r>
      <w:r>
        <w:rPr>
          <w:rFonts w:hint="eastAsia" w:ascii="方正小标宋简体" w:hAnsi="方正小标宋简体" w:eastAsia="方正小标宋简体" w:cs="方正小标宋简体"/>
          <w:b w:val="0"/>
          <w:bCs w:val="0"/>
          <w:color w:val="auto"/>
          <w:spacing w:val="-8"/>
          <w:w w:val="90"/>
          <w:sz w:val="44"/>
          <w:szCs w:val="44"/>
          <w:highlight w:val="none"/>
        </w:rPr>
        <w:t>事故调查</w:t>
      </w:r>
      <w:r>
        <w:rPr>
          <w:rFonts w:hint="eastAsia" w:ascii="方正小标宋简体" w:hAnsi="方正小标宋简体" w:eastAsia="方正小标宋简体" w:cs="方正小标宋简体"/>
          <w:b w:val="0"/>
          <w:bCs w:val="0"/>
          <w:color w:val="auto"/>
          <w:spacing w:val="-8"/>
          <w:w w:val="90"/>
          <w:sz w:val="44"/>
          <w:szCs w:val="44"/>
          <w:highlight w:val="none"/>
          <w:lang w:eastAsia="zh-CN"/>
        </w:rPr>
        <w:t>报告</w:t>
      </w:r>
    </w:p>
    <w:p w14:paraId="7CE892A6">
      <w:pPr>
        <w:keepNext w:val="0"/>
        <w:keepLines w:val="0"/>
        <w:pageBreakBefore w:val="0"/>
        <w:tabs>
          <w:tab w:val="left" w:pos="615"/>
          <w:tab w:val="center" w:pos="4564"/>
        </w:tabs>
        <w:kinsoku/>
        <w:wordWrap/>
        <w:overflowPunct/>
        <w:topLinePunct w:val="0"/>
        <w:autoSpaceDN/>
        <w:bidi w:val="0"/>
        <w:spacing w:line="560" w:lineRule="exact"/>
        <w:ind w:left="0" w:leftChars="0" w:firstLine="760" w:firstLineChars="200"/>
        <w:jc w:val="center"/>
        <w:rPr>
          <w:rFonts w:hint="eastAsia" w:ascii="方正小标宋简体" w:hAnsi="方正小标宋简体" w:eastAsia="方正小标宋简体" w:cs="方正小标宋简体"/>
          <w:b w:val="0"/>
          <w:bCs w:val="0"/>
          <w:i w:val="0"/>
          <w:iCs w:val="0"/>
          <w:caps w:val="0"/>
          <w:color w:val="auto"/>
          <w:spacing w:val="-8"/>
          <w:w w:val="90"/>
          <w:kern w:val="2"/>
          <w:sz w:val="44"/>
          <w:szCs w:val="44"/>
          <w:highlight w:val="none"/>
          <w:shd w:val="clear" w:color="auto" w:fill="auto"/>
          <w:lang w:val="en-US" w:eastAsia="zh-CN" w:bidi="ar"/>
        </w:rPr>
      </w:pPr>
    </w:p>
    <w:p w14:paraId="560E9DDF">
      <w:pPr>
        <w:keepNext w:val="0"/>
        <w:keepLines w:val="0"/>
        <w:pageBreakBefore w:val="0"/>
        <w:tabs>
          <w:tab w:val="left" w:pos="615"/>
          <w:tab w:val="center" w:pos="4564"/>
        </w:tabs>
        <w:kinsoku/>
        <w:wordWrap/>
        <w:overflowPunct/>
        <w:topLinePunct w:val="0"/>
        <w:autoSpaceDN/>
        <w:bidi w:val="0"/>
        <w:spacing w:line="560" w:lineRule="exact"/>
        <w:ind w:left="0" w:leftChars="0" w:firstLine="760" w:firstLineChars="200"/>
        <w:jc w:val="center"/>
        <w:rPr>
          <w:rFonts w:hint="eastAsia" w:ascii="方正小标宋简体" w:hAnsi="方正小标宋简体" w:eastAsia="方正小标宋简体" w:cs="方正小标宋简体"/>
          <w:b w:val="0"/>
          <w:bCs w:val="0"/>
          <w:i w:val="0"/>
          <w:iCs w:val="0"/>
          <w:caps w:val="0"/>
          <w:color w:val="auto"/>
          <w:spacing w:val="-8"/>
          <w:w w:val="90"/>
          <w:kern w:val="2"/>
          <w:sz w:val="44"/>
          <w:szCs w:val="44"/>
          <w:highlight w:val="none"/>
          <w:shd w:val="clear" w:color="auto" w:fill="auto"/>
          <w:lang w:val="en-US" w:eastAsia="zh-CN" w:bidi="ar"/>
        </w:rPr>
      </w:pPr>
    </w:p>
    <w:p w14:paraId="0DF3F7DF">
      <w:pPr>
        <w:keepNext w:val="0"/>
        <w:keepLines w:val="0"/>
        <w:pageBreakBefore w:val="0"/>
        <w:tabs>
          <w:tab w:val="left" w:pos="615"/>
          <w:tab w:val="center" w:pos="4564"/>
        </w:tabs>
        <w:kinsoku/>
        <w:wordWrap/>
        <w:overflowPunct/>
        <w:topLinePunct w:val="0"/>
        <w:autoSpaceDN/>
        <w:bidi w:val="0"/>
        <w:spacing w:line="560" w:lineRule="exact"/>
        <w:ind w:left="0" w:leftChars="0" w:firstLine="760" w:firstLineChars="200"/>
        <w:jc w:val="center"/>
        <w:rPr>
          <w:rFonts w:hint="eastAsia" w:ascii="方正小标宋简体" w:hAnsi="方正小标宋简体" w:eastAsia="方正小标宋简体" w:cs="方正小标宋简体"/>
          <w:b w:val="0"/>
          <w:bCs w:val="0"/>
          <w:i w:val="0"/>
          <w:iCs w:val="0"/>
          <w:caps w:val="0"/>
          <w:color w:val="auto"/>
          <w:spacing w:val="-8"/>
          <w:w w:val="90"/>
          <w:kern w:val="2"/>
          <w:sz w:val="44"/>
          <w:szCs w:val="44"/>
          <w:highlight w:val="none"/>
          <w:shd w:val="clear" w:color="auto" w:fill="auto"/>
          <w:lang w:val="en-US" w:eastAsia="zh-CN" w:bidi="ar"/>
        </w:rPr>
      </w:pPr>
    </w:p>
    <w:p w14:paraId="557C85F8">
      <w:pPr>
        <w:keepNext w:val="0"/>
        <w:keepLines w:val="0"/>
        <w:pageBreakBefore w:val="0"/>
        <w:tabs>
          <w:tab w:val="left" w:pos="615"/>
          <w:tab w:val="center" w:pos="4564"/>
        </w:tabs>
        <w:kinsoku/>
        <w:wordWrap/>
        <w:overflowPunct/>
        <w:topLinePunct w:val="0"/>
        <w:autoSpaceDN/>
        <w:bidi w:val="0"/>
        <w:spacing w:line="560" w:lineRule="exact"/>
        <w:ind w:left="0" w:leftChars="0" w:firstLine="760" w:firstLineChars="200"/>
        <w:jc w:val="center"/>
        <w:rPr>
          <w:rFonts w:hint="eastAsia" w:ascii="方正小标宋简体" w:hAnsi="方正小标宋简体" w:eastAsia="方正小标宋简体" w:cs="方正小标宋简体"/>
          <w:b w:val="0"/>
          <w:bCs w:val="0"/>
          <w:i w:val="0"/>
          <w:iCs w:val="0"/>
          <w:caps w:val="0"/>
          <w:color w:val="auto"/>
          <w:spacing w:val="-8"/>
          <w:w w:val="90"/>
          <w:kern w:val="2"/>
          <w:sz w:val="44"/>
          <w:szCs w:val="44"/>
          <w:highlight w:val="none"/>
          <w:shd w:val="clear" w:color="auto" w:fill="auto"/>
          <w:lang w:val="en-US" w:eastAsia="zh-CN" w:bidi="ar"/>
        </w:rPr>
      </w:pPr>
    </w:p>
    <w:p w14:paraId="13B8EB03">
      <w:pPr>
        <w:keepNext w:val="0"/>
        <w:keepLines w:val="0"/>
        <w:pageBreakBefore w:val="0"/>
        <w:tabs>
          <w:tab w:val="left" w:pos="615"/>
          <w:tab w:val="center" w:pos="4564"/>
        </w:tabs>
        <w:kinsoku/>
        <w:wordWrap/>
        <w:overflowPunct/>
        <w:topLinePunct w:val="0"/>
        <w:autoSpaceDN/>
        <w:bidi w:val="0"/>
        <w:spacing w:line="560" w:lineRule="exact"/>
        <w:ind w:left="0" w:leftChars="0" w:firstLine="760" w:firstLineChars="200"/>
        <w:jc w:val="center"/>
        <w:rPr>
          <w:rFonts w:hint="eastAsia" w:ascii="方正小标宋简体" w:hAnsi="方正小标宋简体" w:eastAsia="方正小标宋简体" w:cs="方正小标宋简体"/>
          <w:b w:val="0"/>
          <w:bCs w:val="0"/>
          <w:i w:val="0"/>
          <w:iCs w:val="0"/>
          <w:caps w:val="0"/>
          <w:color w:val="auto"/>
          <w:spacing w:val="-8"/>
          <w:w w:val="90"/>
          <w:kern w:val="2"/>
          <w:sz w:val="44"/>
          <w:szCs w:val="44"/>
          <w:highlight w:val="none"/>
          <w:shd w:val="clear" w:color="auto" w:fill="auto"/>
          <w:lang w:val="en-US" w:eastAsia="zh-CN" w:bidi="ar"/>
        </w:rPr>
      </w:pPr>
    </w:p>
    <w:p w14:paraId="16B9F8BF">
      <w:pPr>
        <w:keepNext w:val="0"/>
        <w:keepLines w:val="0"/>
        <w:pageBreakBefore w:val="0"/>
        <w:tabs>
          <w:tab w:val="left" w:pos="615"/>
          <w:tab w:val="center" w:pos="4564"/>
        </w:tabs>
        <w:kinsoku/>
        <w:wordWrap/>
        <w:overflowPunct/>
        <w:topLinePunct w:val="0"/>
        <w:autoSpaceDN/>
        <w:bidi w:val="0"/>
        <w:spacing w:line="560" w:lineRule="exact"/>
        <w:ind w:left="0" w:leftChars="0" w:firstLine="760" w:firstLineChars="200"/>
        <w:jc w:val="center"/>
        <w:rPr>
          <w:rFonts w:hint="eastAsia" w:ascii="方正小标宋简体" w:hAnsi="方正小标宋简体" w:eastAsia="方正小标宋简体" w:cs="方正小标宋简体"/>
          <w:b w:val="0"/>
          <w:bCs w:val="0"/>
          <w:i w:val="0"/>
          <w:iCs w:val="0"/>
          <w:caps w:val="0"/>
          <w:color w:val="auto"/>
          <w:spacing w:val="-8"/>
          <w:w w:val="90"/>
          <w:kern w:val="2"/>
          <w:sz w:val="44"/>
          <w:szCs w:val="44"/>
          <w:highlight w:val="none"/>
          <w:shd w:val="clear" w:color="auto" w:fill="auto"/>
          <w:lang w:val="en-US" w:eastAsia="zh-CN" w:bidi="ar"/>
        </w:rPr>
      </w:pPr>
    </w:p>
    <w:p w14:paraId="4FC3340C">
      <w:pPr>
        <w:keepNext w:val="0"/>
        <w:keepLines w:val="0"/>
        <w:pageBreakBefore w:val="0"/>
        <w:tabs>
          <w:tab w:val="left" w:pos="615"/>
          <w:tab w:val="center" w:pos="4564"/>
        </w:tabs>
        <w:kinsoku/>
        <w:wordWrap/>
        <w:overflowPunct/>
        <w:topLinePunct w:val="0"/>
        <w:autoSpaceDN/>
        <w:bidi w:val="0"/>
        <w:spacing w:line="560" w:lineRule="exact"/>
        <w:ind w:left="0" w:leftChars="0" w:firstLine="760" w:firstLineChars="200"/>
        <w:jc w:val="center"/>
        <w:rPr>
          <w:rFonts w:hint="eastAsia" w:ascii="方正小标宋简体" w:hAnsi="方正小标宋简体" w:eastAsia="方正小标宋简体" w:cs="方正小标宋简体"/>
          <w:b w:val="0"/>
          <w:bCs w:val="0"/>
          <w:i w:val="0"/>
          <w:iCs w:val="0"/>
          <w:caps w:val="0"/>
          <w:color w:val="auto"/>
          <w:spacing w:val="-8"/>
          <w:w w:val="90"/>
          <w:kern w:val="2"/>
          <w:sz w:val="44"/>
          <w:szCs w:val="44"/>
          <w:highlight w:val="none"/>
          <w:shd w:val="clear" w:color="auto" w:fill="auto"/>
          <w:lang w:val="en-US" w:eastAsia="zh-CN" w:bidi="ar"/>
        </w:rPr>
      </w:pPr>
    </w:p>
    <w:p w14:paraId="26487348">
      <w:pPr>
        <w:keepNext w:val="0"/>
        <w:keepLines w:val="0"/>
        <w:pageBreakBefore w:val="0"/>
        <w:tabs>
          <w:tab w:val="left" w:pos="615"/>
          <w:tab w:val="center" w:pos="4564"/>
        </w:tabs>
        <w:kinsoku/>
        <w:wordWrap/>
        <w:overflowPunct/>
        <w:topLinePunct w:val="0"/>
        <w:autoSpaceDN/>
        <w:bidi w:val="0"/>
        <w:spacing w:line="560" w:lineRule="exact"/>
        <w:ind w:left="0" w:leftChars="0" w:firstLine="760" w:firstLineChars="200"/>
        <w:jc w:val="center"/>
        <w:rPr>
          <w:rFonts w:hint="eastAsia" w:ascii="方正小标宋简体" w:hAnsi="方正小标宋简体" w:eastAsia="方正小标宋简体" w:cs="方正小标宋简体"/>
          <w:b w:val="0"/>
          <w:bCs w:val="0"/>
          <w:i w:val="0"/>
          <w:iCs w:val="0"/>
          <w:caps w:val="0"/>
          <w:color w:val="auto"/>
          <w:spacing w:val="-8"/>
          <w:w w:val="90"/>
          <w:kern w:val="2"/>
          <w:sz w:val="44"/>
          <w:szCs w:val="44"/>
          <w:highlight w:val="none"/>
          <w:shd w:val="clear" w:color="auto" w:fill="auto"/>
          <w:lang w:val="en-US" w:eastAsia="zh-CN" w:bidi="ar"/>
        </w:rPr>
      </w:pPr>
    </w:p>
    <w:p w14:paraId="5658ADA3">
      <w:pPr>
        <w:keepNext w:val="0"/>
        <w:keepLines w:val="0"/>
        <w:pageBreakBefore w:val="0"/>
        <w:tabs>
          <w:tab w:val="left" w:pos="615"/>
          <w:tab w:val="center" w:pos="4564"/>
        </w:tabs>
        <w:kinsoku/>
        <w:wordWrap/>
        <w:overflowPunct/>
        <w:topLinePunct w:val="0"/>
        <w:autoSpaceDN/>
        <w:bidi w:val="0"/>
        <w:spacing w:line="560" w:lineRule="exact"/>
        <w:ind w:left="0" w:leftChars="0" w:firstLine="760" w:firstLineChars="200"/>
        <w:jc w:val="center"/>
        <w:rPr>
          <w:rFonts w:hint="eastAsia" w:ascii="方正小标宋简体" w:hAnsi="方正小标宋简体" w:eastAsia="方正小标宋简体" w:cs="方正小标宋简体"/>
          <w:b w:val="0"/>
          <w:bCs w:val="0"/>
          <w:i w:val="0"/>
          <w:iCs w:val="0"/>
          <w:caps w:val="0"/>
          <w:color w:val="auto"/>
          <w:spacing w:val="-8"/>
          <w:w w:val="90"/>
          <w:kern w:val="2"/>
          <w:sz w:val="44"/>
          <w:szCs w:val="44"/>
          <w:highlight w:val="none"/>
          <w:shd w:val="clear" w:color="auto" w:fill="auto"/>
          <w:lang w:val="en-US" w:eastAsia="zh-CN" w:bidi="ar"/>
        </w:rPr>
      </w:pPr>
    </w:p>
    <w:p w14:paraId="66B69C9E">
      <w:pPr>
        <w:keepNext w:val="0"/>
        <w:keepLines w:val="0"/>
        <w:pageBreakBefore w:val="0"/>
        <w:tabs>
          <w:tab w:val="left" w:pos="615"/>
          <w:tab w:val="center" w:pos="4564"/>
        </w:tabs>
        <w:kinsoku/>
        <w:wordWrap/>
        <w:overflowPunct/>
        <w:topLinePunct w:val="0"/>
        <w:autoSpaceDN/>
        <w:bidi w:val="0"/>
        <w:spacing w:line="560" w:lineRule="exact"/>
        <w:ind w:left="0" w:leftChars="0" w:firstLine="760" w:firstLineChars="200"/>
        <w:jc w:val="center"/>
        <w:rPr>
          <w:rFonts w:hint="eastAsia" w:ascii="方正小标宋简体" w:hAnsi="方正小标宋简体" w:eastAsia="方正小标宋简体" w:cs="方正小标宋简体"/>
          <w:b w:val="0"/>
          <w:bCs w:val="0"/>
          <w:i w:val="0"/>
          <w:iCs w:val="0"/>
          <w:caps w:val="0"/>
          <w:color w:val="auto"/>
          <w:spacing w:val="-8"/>
          <w:w w:val="90"/>
          <w:kern w:val="2"/>
          <w:sz w:val="44"/>
          <w:szCs w:val="44"/>
          <w:highlight w:val="none"/>
          <w:shd w:val="clear" w:color="auto" w:fill="auto"/>
          <w:lang w:val="en-US" w:eastAsia="zh-CN" w:bidi="ar"/>
        </w:rPr>
      </w:pPr>
    </w:p>
    <w:p w14:paraId="4271893E">
      <w:pPr>
        <w:keepNext w:val="0"/>
        <w:keepLines w:val="0"/>
        <w:pageBreakBefore w:val="0"/>
        <w:tabs>
          <w:tab w:val="left" w:pos="615"/>
          <w:tab w:val="center" w:pos="4564"/>
        </w:tabs>
        <w:kinsoku/>
        <w:wordWrap/>
        <w:overflowPunct/>
        <w:topLinePunct w:val="0"/>
        <w:autoSpaceDN/>
        <w:bidi w:val="0"/>
        <w:spacing w:line="560" w:lineRule="exact"/>
        <w:ind w:left="0" w:leftChars="0" w:firstLine="760" w:firstLineChars="200"/>
        <w:jc w:val="center"/>
        <w:rPr>
          <w:rFonts w:hint="eastAsia" w:ascii="方正小标宋简体" w:hAnsi="方正小标宋简体" w:eastAsia="方正小标宋简体" w:cs="方正小标宋简体"/>
          <w:b w:val="0"/>
          <w:bCs w:val="0"/>
          <w:i w:val="0"/>
          <w:iCs w:val="0"/>
          <w:caps w:val="0"/>
          <w:color w:val="auto"/>
          <w:spacing w:val="-8"/>
          <w:w w:val="90"/>
          <w:kern w:val="2"/>
          <w:sz w:val="44"/>
          <w:szCs w:val="44"/>
          <w:highlight w:val="none"/>
          <w:shd w:val="clear" w:color="auto" w:fill="auto"/>
          <w:lang w:val="en-US" w:eastAsia="zh-CN" w:bidi="ar"/>
        </w:rPr>
      </w:pPr>
    </w:p>
    <w:p w14:paraId="73A6E11C">
      <w:pPr>
        <w:keepNext w:val="0"/>
        <w:keepLines w:val="0"/>
        <w:pageBreakBefore w:val="0"/>
        <w:tabs>
          <w:tab w:val="left" w:pos="615"/>
          <w:tab w:val="center" w:pos="4564"/>
        </w:tabs>
        <w:kinsoku/>
        <w:wordWrap/>
        <w:overflowPunct/>
        <w:topLinePunct w:val="0"/>
        <w:autoSpaceDN/>
        <w:bidi w:val="0"/>
        <w:spacing w:line="560" w:lineRule="exact"/>
        <w:ind w:left="0" w:leftChars="0" w:firstLine="760" w:firstLineChars="200"/>
        <w:jc w:val="center"/>
        <w:rPr>
          <w:rFonts w:hint="eastAsia" w:ascii="方正小标宋简体" w:hAnsi="方正小标宋简体" w:eastAsia="方正小标宋简体" w:cs="方正小标宋简体"/>
          <w:b w:val="0"/>
          <w:bCs w:val="0"/>
          <w:i w:val="0"/>
          <w:iCs w:val="0"/>
          <w:caps w:val="0"/>
          <w:color w:val="auto"/>
          <w:spacing w:val="-8"/>
          <w:w w:val="90"/>
          <w:kern w:val="2"/>
          <w:sz w:val="44"/>
          <w:szCs w:val="44"/>
          <w:highlight w:val="none"/>
          <w:shd w:val="clear" w:color="auto" w:fill="auto"/>
          <w:lang w:val="en-US" w:eastAsia="zh-CN" w:bidi="ar"/>
        </w:rPr>
      </w:pPr>
    </w:p>
    <w:p w14:paraId="2BA743B7">
      <w:pPr>
        <w:keepNext w:val="0"/>
        <w:keepLines w:val="0"/>
        <w:pageBreakBefore w:val="0"/>
        <w:kinsoku/>
        <w:wordWrap/>
        <w:overflowPunct/>
        <w:topLinePunct w:val="0"/>
        <w:autoSpaceDN/>
        <w:bidi w:val="0"/>
        <w:spacing w:line="560" w:lineRule="exact"/>
        <w:ind w:left="0" w:leftChars="0" w:firstLine="0" w:firstLineChars="0"/>
        <w:jc w:val="center"/>
        <w:outlineLvl w:val="0"/>
        <w:rPr>
          <w:rFonts w:hint="eastAsia" w:ascii="楷体_GB2312" w:hAnsi="楷体_GB2312" w:eastAsia="楷体_GB2312" w:cs="楷体_GB2312"/>
          <w:b w:val="0"/>
          <w:bCs w:val="0"/>
          <w:i w:val="0"/>
          <w:iCs w:val="0"/>
          <w:caps w:val="0"/>
          <w:color w:val="0000FF"/>
          <w:spacing w:val="-8"/>
          <w:w w:val="90"/>
          <w:kern w:val="2"/>
          <w:sz w:val="32"/>
          <w:szCs w:val="32"/>
          <w:highlight w:val="none"/>
          <w:shd w:val="clear" w:color="auto" w:fill="auto"/>
          <w:lang w:val="en-US" w:eastAsia="zh-CN" w:bidi="ar"/>
        </w:rPr>
      </w:pPr>
      <w:bookmarkStart w:id="4" w:name="_Toc7337"/>
      <w:bookmarkStart w:id="5" w:name="_Toc16369"/>
      <w:bookmarkStart w:id="6" w:name="_Toc2093"/>
      <w:bookmarkStart w:id="7" w:name="_Toc18850"/>
      <w:bookmarkStart w:id="8" w:name="_Toc15506"/>
      <w:r>
        <w:rPr>
          <w:rFonts w:hint="eastAsia" w:ascii="楷体_GB2312" w:hAnsi="楷体_GB2312" w:eastAsia="楷体_GB2312" w:cs="楷体_GB2312"/>
          <w:highlight w:val="none"/>
          <w:lang w:val="en-US" w:eastAsia="zh-CN"/>
        </w:rPr>
        <w:t>莱山区政府事故调查组</w:t>
      </w:r>
      <w:bookmarkEnd w:id="4"/>
      <w:bookmarkEnd w:id="5"/>
      <w:bookmarkEnd w:id="6"/>
      <w:bookmarkEnd w:id="7"/>
      <w:bookmarkEnd w:id="8"/>
    </w:p>
    <w:p w14:paraId="50E06ACE">
      <w:pPr>
        <w:keepNext w:val="0"/>
        <w:keepLines w:val="0"/>
        <w:pageBreakBefore w:val="0"/>
        <w:kinsoku/>
        <w:wordWrap/>
        <w:overflowPunct/>
        <w:topLinePunct w:val="0"/>
        <w:autoSpaceDN/>
        <w:bidi w:val="0"/>
        <w:spacing w:line="560" w:lineRule="exact"/>
        <w:ind w:left="0" w:leftChars="0" w:firstLine="0" w:firstLineChars="0"/>
        <w:jc w:val="center"/>
        <w:rPr>
          <w:rFonts w:hint="eastAsia" w:ascii="楷体_GB2312" w:hAnsi="楷体_GB2312" w:eastAsia="楷体_GB2312" w:cs="楷体_GB2312"/>
          <w:b w:val="0"/>
          <w:bCs w:val="0"/>
          <w:i w:val="0"/>
          <w:iCs w:val="0"/>
          <w:caps w:val="0"/>
          <w:color w:val="auto"/>
          <w:spacing w:val="-8"/>
          <w:w w:val="90"/>
          <w:kern w:val="2"/>
          <w:sz w:val="32"/>
          <w:szCs w:val="32"/>
          <w:highlight w:val="none"/>
          <w:shd w:val="clear" w:color="auto" w:fill="auto"/>
          <w:lang w:val="en-US" w:eastAsia="zh-CN" w:bidi="ar"/>
        </w:rPr>
      </w:pPr>
      <w:r>
        <w:rPr>
          <w:rFonts w:hint="eastAsia" w:ascii="楷体_GB2312" w:hAnsi="楷体_GB2312" w:eastAsia="楷体_GB2312" w:cs="楷体_GB2312"/>
          <w:b w:val="0"/>
          <w:bCs w:val="0"/>
          <w:i w:val="0"/>
          <w:iCs w:val="0"/>
          <w:caps w:val="0"/>
          <w:color w:val="auto"/>
          <w:spacing w:val="-8"/>
          <w:w w:val="90"/>
          <w:kern w:val="2"/>
          <w:sz w:val="32"/>
          <w:szCs w:val="32"/>
          <w:highlight w:val="none"/>
          <w:shd w:val="clear" w:color="auto" w:fill="auto"/>
          <w:lang w:val="en-US" w:eastAsia="zh-CN" w:bidi="ar"/>
        </w:rPr>
        <w:t>2024年12月31日</w:t>
      </w:r>
    </w:p>
    <w:p w14:paraId="2E6F5094">
      <w:pPr>
        <w:keepNext w:val="0"/>
        <w:keepLines w:val="0"/>
        <w:pageBreakBefore w:val="0"/>
        <w:tabs>
          <w:tab w:val="left" w:pos="615"/>
          <w:tab w:val="center" w:pos="4564"/>
        </w:tabs>
        <w:kinsoku/>
        <w:wordWrap/>
        <w:overflowPunct/>
        <w:topLinePunct w:val="0"/>
        <w:autoSpaceDN/>
        <w:bidi w:val="0"/>
        <w:spacing w:line="560" w:lineRule="exact"/>
        <w:ind w:left="0" w:leftChars="0" w:firstLine="760" w:firstLineChars="200"/>
        <w:jc w:val="center"/>
        <w:rPr>
          <w:rFonts w:hint="eastAsia" w:ascii="方正小标宋简体" w:hAnsi="方正小标宋简体" w:eastAsia="方正小标宋简体" w:cs="方正小标宋简体"/>
          <w:b w:val="0"/>
          <w:bCs w:val="0"/>
          <w:i w:val="0"/>
          <w:iCs w:val="0"/>
          <w:caps w:val="0"/>
          <w:color w:val="auto"/>
          <w:spacing w:val="-8"/>
          <w:w w:val="90"/>
          <w:kern w:val="2"/>
          <w:sz w:val="44"/>
          <w:szCs w:val="44"/>
          <w:highlight w:val="none"/>
          <w:shd w:val="clear" w:color="auto" w:fill="auto"/>
          <w:lang w:val="en-US" w:eastAsia="zh-CN" w:bidi="ar"/>
        </w:rPr>
      </w:pPr>
    </w:p>
    <w:p w14:paraId="21C0D902">
      <w:pPr>
        <w:spacing w:before="0" w:beforeLines="0" w:after="0" w:afterLines="0" w:line="240" w:lineRule="auto"/>
        <w:ind w:left="0" w:leftChars="0" w:right="0" w:rightChars="0" w:firstLine="0" w:firstLineChars="0"/>
        <w:jc w:val="both"/>
        <w:rPr>
          <w:rFonts w:ascii="宋体" w:hAnsi="宋体" w:eastAsia="宋体" w:cs="Times New Roman"/>
          <w:kern w:val="2"/>
          <w:sz w:val="21"/>
          <w:szCs w:val="24"/>
          <w:highlight w:val="none"/>
          <w:lang w:val="en-US" w:eastAsia="zh-CN" w:bidi="ar-SA"/>
        </w:rPr>
      </w:pPr>
    </w:p>
    <w:p w14:paraId="03C9A56D">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highlight w:val="none"/>
          <w:lang w:val="en-US" w:eastAsia="zh-CN" w:bidi="ar-SA"/>
        </w:rPr>
      </w:pPr>
    </w:p>
    <w:p w14:paraId="273B285E">
      <w:pPr>
        <w:spacing w:before="0" w:beforeLines="0" w:after="0" w:afterLines="0" w:line="360" w:lineRule="auto"/>
        <w:ind w:left="0" w:leftChars="0" w:right="0" w:rightChars="0" w:firstLine="0" w:firstLineChars="0"/>
        <w:jc w:val="center"/>
        <w:rPr>
          <w:rFonts w:ascii="宋体" w:hAnsi="宋体" w:eastAsia="宋体" w:cs="Times New Roman"/>
          <w:kern w:val="2"/>
          <w:sz w:val="21"/>
          <w:szCs w:val="32"/>
          <w:highlight w:val="none"/>
          <w:lang w:val="en-US" w:eastAsia="zh-CN" w:bidi="ar-SA"/>
        </w:rPr>
        <w:sectPr>
          <w:footnotePr>
            <w:numFmt w:val="decimal"/>
          </w:footnotePr>
          <w:pgSz w:w="11906" w:h="16838"/>
          <w:pgMar w:top="2098" w:right="1474" w:bottom="1984" w:left="1587" w:header="851" w:footer="992" w:gutter="0"/>
          <w:cols w:space="720" w:num="1"/>
          <w:docGrid w:type="lines" w:linePitch="312" w:charSpace="0"/>
        </w:sectPr>
      </w:pPr>
    </w:p>
    <w:sdt>
      <w:sdtPr>
        <w:rPr>
          <w:rFonts w:ascii="宋体" w:hAnsi="宋体" w:eastAsia="宋体" w:cs="Times New Roman"/>
          <w:b/>
          <w:bCs/>
          <w:kern w:val="2"/>
          <w:sz w:val="32"/>
          <w:szCs w:val="32"/>
          <w:lang w:val="en-US" w:eastAsia="zh-CN" w:bidi="ar-SA"/>
        </w:rPr>
        <w:id w:val="147476596"/>
        <w15:color w:val="DBDBDB"/>
        <w:docPartObj>
          <w:docPartGallery w:val="Table of Contents"/>
          <w:docPartUnique/>
        </w:docPartObj>
      </w:sdtPr>
      <w:sdtEndPr>
        <w:rPr>
          <w:rFonts w:ascii="Times New Roman" w:hAnsi="Times New Roman" w:eastAsia="仿宋_GB2312" w:cs="Times New Roman"/>
          <w:b/>
          <w:bCs/>
          <w:kern w:val="2"/>
          <w:sz w:val="32"/>
          <w:szCs w:val="32"/>
          <w:highlight w:val="none"/>
          <w:lang w:val="en-US" w:eastAsia="zh-CN" w:bidi="ar-SA"/>
        </w:rPr>
      </w:sdtEndPr>
      <w:sdtContent>
        <w:p w14:paraId="3B90853F">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default" w:ascii="Times New Roman" w:hAnsi="Times New Roman" w:cs="Times New Roman"/>
              <w:b/>
              <w:bCs/>
              <w:sz w:val="32"/>
              <w:szCs w:val="32"/>
            </w:rPr>
          </w:pPr>
          <w:r>
            <w:rPr>
              <w:rFonts w:ascii="宋体" w:hAnsi="宋体" w:eastAsia="宋体"/>
              <w:b/>
              <w:bCs/>
              <w:sz w:val="32"/>
              <w:szCs w:val="32"/>
            </w:rPr>
            <w:t>目</w:t>
          </w:r>
          <w:r>
            <w:rPr>
              <w:rFonts w:hint="eastAsia" w:ascii="宋体" w:hAnsi="宋体" w:eastAsia="宋体"/>
              <w:b/>
              <w:bCs/>
              <w:sz w:val="32"/>
              <w:szCs w:val="32"/>
              <w:lang w:val="en-US" w:eastAsia="zh-CN"/>
            </w:rPr>
            <w:t xml:space="preserve"> </w:t>
          </w:r>
          <w:r>
            <w:rPr>
              <w:rFonts w:ascii="宋体" w:hAnsi="宋体" w:eastAsia="宋体"/>
              <w:b/>
              <w:bCs/>
              <w:sz w:val="32"/>
              <w:szCs w:val="32"/>
            </w:rPr>
            <w:t>录</w:t>
          </w:r>
        </w:p>
        <w:p w14:paraId="7FA820EB">
          <w:pPr>
            <w:pStyle w:val="25"/>
            <w:tabs>
              <w:tab w:val="right" w:leader="dot" w:pos="8845"/>
            </w:tabs>
            <w:rPr>
              <w:rFonts w:hint="default" w:ascii="Times New Roman" w:hAnsi="Times New Roman" w:cs="Times New Roman"/>
              <w:b/>
              <w:bCs w:val="0"/>
            </w:rPr>
          </w:pPr>
          <w:r>
            <w:rPr>
              <w:rFonts w:hint="default" w:ascii="Times New Roman" w:hAnsi="Times New Roman" w:eastAsia="仿宋_GB2312" w:cs="Times New Roman"/>
              <w:b/>
              <w:kern w:val="2"/>
              <w:sz w:val="32"/>
              <w:szCs w:val="32"/>
              <w:highlight w:val="none"/>
              <w:lang w:val="en-US" w:eastAsia="zh-CN" w:bidi="ar-SA"/>
            </w:rPr>
            <w:fldChar w:fldCharType="begin"/>
          </w:r>
          <w:r>
            <w:rPr>
              <w:rFonts w:hint="default" w:ascii="Times New Roman" w:hAnsi="Times New Roman" w:eastAsia="仿宋_GB2312" w:cs="Times New Roman"/>
              <w:b/>
              <w:kern w:val="2"/>
              <w:sz w:val="32"/>
              <w:szCs w:val="32"/>
              <w:highlight w:val="none"/>
              <w:lang w:val="en-US" w:eastAsia="zh-CN" w:bidi="ar-SA"/>
            </w:rPr>
            <w:instrText xml:space="preserve">TOC \o "1-2" \h \u </w:instrText>
          </w:r>
          <w:r>
            <w:rPr>
              <w:rFonts w:hint="default" w:ascii="Times New Roman" w:hAnsi="Times New Roman" w:eastAsia="仿宋_GB2312" w:cs="Times New Roman"/>
              <w:b/>
              <w:kern w:val="2"/>
              <w:sz w:val="32"/>
              <w:szCs w:val="32"/>
              <w:highlight w:val="none"/>
              <w:lang w:val="en-US" w:eastAsia="zh-CN" w:bidi="ar-SA"/>
            </w:rPr>
            <w:fldChar w:fldCharType="separate"/>
          </w:r>
          <w:r>
            <w:rPr>
              <w:rFonts w:hint="default" w:ascii="Times New Roman" w:hAnsi="Times New Roman" w:eastAsia="黑体" w:cs="Times New Roman"/>
              <w:b w:val="0"/>
              <w:bCs/>
              <w:kern w:val="2"/>
              <w:sz w:val="24"/>
              <w:szCs w:val="24"/>
              <w:highlight w:val="none"/>
              <w:lang w:val="en-US" w:eastAsia="zh-CN" w:bidi="ar-SA"/>
            </w:rPr>
            <w:fldChar w:fldCharType="begin"/>
          </w:r>
          <w:r>
            <w:rPr>
              <w:rFonts w:hint="default" w:ascii="Times New Roman" w:hAnsi="Times New Roman" w:eastAsia="黑体" w:cs="Times New Roman"/>
              <w:b w:val="0"/>
              <w:bCs/>
              <w:kern w:val="2"/>
              <w:sz w:val="24"/>
              <w:szCs w:val="24"/>
              <w:highlight w:val="none"/>
              <w:lang w:val="en-US" w:eastAsia="zh-CN" w:bidi="ar-SA"/>
            </w:rPr>
            <w:instrText xml:space="preserve"> HYPERLINK \l _Toc15622 </w:instrText>
          </w:r>
          <w:r>
            <w:rPr>
              <w:rFonts w:hint="default" w:ascii="Times New Roman" w:hAnsi="Times New Roman" w:eastAsia="黑体" w:cs="Times New Roman"/>
              <w:b w:val="0"/>
              <w:bCs/>
              <w:kern w:val="2"/>
              <w:sz w:val="24"/>
              <w:szCs w:val="24"/>
              <w:highlight w:val="none"/>
              <w:lang w:val="en-US" w:eastAsia="zh-CN" w:bidi="ar-SA"/>
            </w:rPr>
            <w:fldChar w:fldCharType="separate"/>
          </w:r>
          <w:r>
            <w:rPr>
              <w:rFonts w:hint="default" w:ascii="Times New Roman" w:hAnsi="Times New Roman" w:eastAsia="黑体" w:cs="Times New Roman"/>
              <w:b w:val="0"/>
              <w:bCs/>
              <w:sz w:val="24"/>
              <w:szCs w:val="24"/>
              <w:highlight w:val="none"/>
              <w:lang w:val="en-US" w:eastAsia="zh-CN"/>
            </w:rPr>
            <w:t>一、事故</w:t>
          </w:r>
          <w:r>
            <w:rPr>
              <w:rFonts w:hint="default" w:ascii="Times New Roman" w:hAnsi="Times New Roman" w:eastAsia="黑体" w:cs="Times New Roman"/>
              <w:b w:val="0"/>
              <w:bCs/>
              <w:sz w:val="24"/>
              <w:szCs w:val="24"/>
              <w:highlight w:val="none"/>
            </w:rPr>
            <w:t>基本情况</w:t>
          </w:r>
          <w:r>
            <w:rPr>
              <w:rFonts w:hint="default" w:ascii="Times New Roman" w:hAnsi="Times New Roman" w:eastAsia="黑体" w:cs="Times New Roman"/>
              <w:b w:val="0"/>
              <w:bCs/>
              <w:sz w:val="24"/>
              <w:szCs w:val="24"/>
            </w:rPr>
            <w:tab/>
          </w:r>
          <w:r>
            <w:rPr>
              <w:rFonts w:hint="default" w:ascii="Times New Roman" w:hAnsi="Times New Roman" w:eastAsia="黑体" w:cs="Times New Roman"/>
              <w:b w:val="0"/>
              <w:bCs/>
              <w:sz w:val="24"/>
              <w:szCs w:val="24"/>
            </w:rPr>
            <w:fldChar w:fldCharType="begin"/>
          </w:r>
          <w:r>
            <w:rPr>
              <w:rFonts w:hint="default" w:ascii="Times New Roman" w:hAnsi="Times New Roman" w:eastAsia="黑体" w:cs="Times New Roman"/>
              <w:b w:val="0"/>
              <w:bCs/>
              <w:sz w:val="24"/>
              <w:szCs w:val="24"/>
            </w:rPr>
            <w:instrText xml:space="preserve"> PAGEREF _Toc15622 \h </w:instrText>
          </w:r>
          <w:r>
            <w:rPr>
              <w:rFonts w:hint="default" w:ascii="Times New Roman" w:hAnsi="Times New Roman" w:eastAsia="黑体" w:cs="Times New Roman"/>
              <w:b w:val="0"/>
              <w:bCs/>
              <w:sz w:val="24"/>
              <w:szCs w:val="24"/>
            </w:rPr>
            <w:fldChar w:fldCharType="separate"/>
          </w:r>
          <w:r>
            <w:rPr>
              <w:rFonts w:hint="default" w:ascii="Times New Roman" w:hAnsi="Times New Roman" w:eastAsia="黑体" w:cs="Times New Roman"/>
              <w:b w:val="0"/>
              <w:bCs/>
              <w:sz w:val="24"/>
              <w:szCs w:val="24"/>
            </w:rPr>
            <w:t>3</w:t>
          </w:r>
          <w:r>
            <w:rPr>
              <w:rFonts w:hint="default" w:ascii="Times New Roman" w:hAnsi="Times New Roman" w:eastAsia="黑体" w:cs="Times New Roman"/>
              <w:b w:val="0"/>
              <w:bCs/>
              <w:sz w:val="24"/>
              <w:szCs w:val="24"/>
            </w:rPr>
            <w:fldChar w:fldCharType="end"/>
          </w:r>
          <w:r>
            <w:rPr>
              <w:rFonts w:hint="default" w:ascii="Times New Roman" w:hAnsi="Times New Roman" w:eastAsia="黑体" w:cs="Times New Roman"/>
              <w:b w:val="0"/>
              <w:bCs/>
              <w:kern w:val="2"/>
              <w:sz w:val="24"/>
              <w:szCs w:val="24"/>
              <w:highlight w:val="none"/>
              <w:lang w:val="en-US" w:eastAsia="zh-CN" w:bidi="ar-SA"/>
            </w:rPr>
            <w:fldChar w:fldCharType="end"/>
          </w:r>
        </w:p>
        <w:p w14:paraId="4D9A47B6">
          <w:pPr>
            <w:pStyle w:val="26"/>
            <w:tabs>
              <w:tab w:val="right" w:leader="dot" w:pos="8845"/>
            </w:tabs>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highlight w:val="none"/>
              <w:lang w:val="en-US" w:eastAsia="zh-CN" w:bidi="ar-SA"/>
            </w:rPr>
            <w:fldChar w:fldCharType="begin"/>
          </w:r>
          <w:r>
            <w:rPr>
              <w:rFonts w:hint="default" w:ascii="Times New Roman" w:hAnsi="Times New Roman" w:eastAsia="宋体" w:cs="Times New Roman"/>
              <w:kern w:val="2"/>
              <w:sz w:val="24"/>
              <w:szCs w:val="24"/>
              <w:highlight w:val="none"/>
              <w:lang w:val="en-US" w:eastAsia="zh-CN" w:bidi="ar-SA"/>
            </w:rPr>
            <w:instrText xml:space="preserve"> HYPERLINK \l _Toc13233 </w:instrText>
          </w:r>
          <w:r>
            <w:rPr>
              <w:rFonts w:hint="default" w:ascii="Times New Roman" w:hAnsi="Times New Roman" w:eastAsia="宋体" w:cs="Times New Roman"/>
              <w:kern w:val="2"/>
              <w:sz w:val="24"/>
              <w:szCs w:val="24"/>
              <w:highlight w:val="none"/>
              <w:lang w:val="en-US" w:eastAsia="zh-CN" w:bidi="ar-SA"/>
            </w:rPr>
            <w:fldChar w:fldCharType="separate"/>
          </w:r>
          <w:r>
            <w:rPr>
              <w:rFonts w:hint="default" w:ascii="Times New Roman" w:hAnsi="Times New Roman" w:eastAsia="宋体" w:cs="Times New Roman"/>
              <w:sz w:val="24"/>
              <w:szCs w:val="24"/>
              <w:highlight w:val="none"/>
            </w:rPr>
            <w:t>（一）项目概况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_Toc13233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highlight w:val="none"/>
              <w:lang w:val="en-US" w:eastAsia="zh-CN" w:bidi="ar-SA"/>
            </w:rPr>
            <w:fldChar w:fldCharType="end"/>
          </w:r>
        </w:p>
        <w:p w14:paraId="09EED04B">
          <w:pPr>
            <w:pStyle w:val="26"/>
            <w:tabs>
              <w:tab w:val="right" w:leader="dot" w:pos="8845"/>
            </w:tabs>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highlight w:val="none"/>
              <w:lang w:val="en-US" w:eastAsia="zh-CN" w:bidi="ar-SA"/>
            </w:rPr>
            <w:fldChar w:fldCharType="begin"/>
          </w:r>
          <w:r>
            <w:rPr>
              <w:rFonts w:hint="default" w:ascii="Times New Roman" w:hAnsi="Times New Roman" w:eastAsia="宋体" w:cs="Times New Roman"/>
              <w:kern w:val="2"/>
              <w:sz w:val="24"/>
              <w:szCs w:val="24"/>
              <w:highlight w:val="none"/>
              <w:lang w:val="en-US" w:eastAsia="zh-CN" w:bidi="ar-SA"/>
            </w:rPr>
            <w:instrText xml:space="preserve"> HYPERLINK \l _Toc18621 </w:instrText>
          </w:r>
          <w:r>
            <w:rPr>
              <w:rFonts w:hint="default" w:ascii="Times New Roman" w:hAnsi="Times New Roman" w:eastAsia="宋体" w:cs="Times New Roman"/>
              <w:kern w:val="2"/>
              <w:sz w:val="24"/>
              <w:szCs w:val="24"/>
              <w:highlight w:val="none"/>
              <w:lang w:val="en-US" w:eastAsia="zh-CN" w:bidi="ar-SA"/>
            </w:rPr>
            <w:fldChar w:fldCharType="separate"/>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二</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trike w:val="0"/>
              <w:dstrike w:val="0"/>
              <w:sz w:val="24"/>
              <w:szCs w:val="24"/>
              <w:highlight w:val="none"/>
              <w:lang w:val="en-US" w:eastAsia="zh-CN"/>
            </w:rPr>
            <w:t>相关参建单位概况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_Toc18621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highlight w:val="none"/>
              <w:lang w:val="en-US" w:eastAsia="zh-CN" w:bidi="ar-SA"/>
            </w:rPr>
            <w:fldChar w:fldCharType="end"/>
          </w:r>
        </w:p>
        <w:p w14:paraId="355E5DC3">
          <w:pPr>
            <w:pStyle w:val="26"/>
            <w:tabs>
              <w:tab w:val="right" w:leader="dot" w:pos="8845"/>
            </w:tabs>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fldChar w:fldCharType="begin"/>
          </w:r>
          <w:r>
            <w:rPr>
              <w:rFonts w:hint="default" w:ascii="Times New Roman" w:hAnsi="Times New Roman" w:eastAsia="宋体" w:cs="Times New Roman"/>
              <w:sz w:val="24"/>
              <w:szCs w:val="24"/>
              <w:highlight w:val="none"/>
              <w:lang w:val="en-US" w:eastAsia="zh-CN"/>
            </w:rPr>
            <w:instrText xml:space="preserve"> HYPERLINK \l _Toc28482 </w:instrText>
          </w:r>
          <w:r>
            <w:rPr>
              <w:rFonts w:hint="default" w:ascii="Times New Roman" w:hAnsi="Times New Roman" w:eastAsia="宋体" w:cs="Times New Roman"/>
              <w:sz w:val="24"/>
              <w:szCs w:val="24"/>
              <w:highlight w:val="none"/>
              <w:lang w:val="en-US" w:eastAsia="zh-CN"/>
            </w:rPr>
            <w:fldChar w:fldCharType="separate"/>
          </w:r>
          <w:r>
            <w:rPr>
              <w:rFonts w:hint="default" w:ascii="Times New Roman" w:hAnsi="Times New Roman" w:eastAsia="宋体" w:cs="Times New Roman"/>
              <w:sz w:val="24"/>
              <w:szCs w:val="24"/>
              <w:highlight w:val="none"/>
              <w:lang w:val="en-US" w:eastAsia="zh-CN"/>
            </w:rPr>
            <w:t>（三）合同签订情况</w:t>
          </w:r>
          <w:r>
            <w:rPr>
              <w:rFonts w:hint="default" w:ascii="Times New Roman" w:hAnsi="Times New Roman" w:eastAsia="宋体" w:cs="Times New Roman"/>
              <w:sz w:val="24"/>
              <w:szCs w:val="24"/>
              <w:highlight w:val="none"/>
              <w:lang w:val="en-US" w:eastAsia="zh-CN"/>
            </w:rPr>
            <w:tab/>
          </w:r>
          <w:r>
            <w:rPr>
              <w:rFonts w:hint="default" w:ascii="Times New Roman" w:hAnsi="Times New Roman" w:eastAsia="宋体" w:cs="Times New Roman"/>
              <w:sz w:val="24"/>
              <w:szCs w:val="24"/>
              <w:highlight w:val="none"/>
              <w:lang w:val="en-US" w:eastAsia="zh-CN"/>
            </w:rPr>
            <w:fldChar w:fldCharType="begin"/>
          </w:r>
          <w:r>
            <w:rPr>
              <w:rFonts w:hint="default" w:ascii="Times New Roman" w:hAnsi="Times New Roman" w:eastAsia="宋体" w:cs="Times New Roman"/>
              <w:sz w:val="24"/>
              <w:szCs w:val="24"/>
              <w:highlight w:val="none"/>
              <w:lang w:val="en-US" w:eastAsia="zh-CN"/>
            </w:rPr>
            <w:instrText xml:space="preserve"> PAGEREF _Toc28482 \h </w:instrText>
          </w:r>
          <w:r>
            <w:rPr>
              <w:rFonts w:hint="default" w:ascii="Times New Roman" w:hAnsi="Times New Roman" w:eastAsia="宋体" w:cs="Times New Roman"/>
              <w:sz w:val="24"/>
              <w:szCs w:val="24"/>
              <w:highlight w:val="none"/>
              <w:lang w:val="en-US" w:eastAsia="zh-CN"/>
            </w:rPr>
            <w:fldChar w:fldCharType="separate"/>
          </w:r>
          <w:r>
            <w:rPr>
              <w:rFonts w:hint="default" w:ascii="Times New Roman" w:hAnsi="Times New Roman" w:eastAsia="宋体" w:cs="Times New Roman"/>
              <w:sz w:val="24"/>
              <w:szCs w:val="24"/>
              <w:highlight w:val="none"/>
              <w:lang w:val="en-US" w:eastAsia="zh-CN"/>
            </w:rPr>
            <w:t>7</w:t>
          </w:r>
          <w:r>
            <w:rPr>
              <w:rFonts w:hint="default" w:ascii="Times New Roman" w:hAnsi="Times New Roman" w:eastAsia="宋体" w:cs="Times New Roman"/>
              <w:sz w:val="24"/>
              <w:szCs w:val="24"/>
              <w:highlight w:val="none"/>
              <w:lang w:val="en-US" w:eastAsia="zh-CN"/>
            </w:rPr>
            <w:fldChar w:fldCharType="end"/>
          </w:r>
          <w:r>
            <w:rPr>
              <w:rFonts w:hint="default" w:ascii="Times New Roman" w:hAnsi="Times New Roman" w:eastAsia="宋体" w:cs="Times New Roman"/>
              <w:sz w:val="24"/>
              <w:szCs w:val="24"/>
              <w:highlight w:val="none"/>
              <w:lang w:val="en-US" w:eastAsia="zh-CN"/>
            </w:rPr>
            <w:fldChar w:fldCharType="end"/>
          </w:r>
        </w:p>
        <w:p w14:paraId="17DBC9BC">
          <w:pPr>
            <w:pStyle w:val="26"/>
            <w:tabs>
              <w:tab w:val="right" w:leader="dot" w:pos="8845"/>
            </w:tabs>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fldChar w:fldCharType="begin"/>
          </w:r>
          <w:r>
            <w:rPr>
              <w:rFonts w:hint="default" w:ascii="Times New Roman" w:hAnsi="Times New Roman" w:eastAsia="宋体" w:cs="Times New Roman"/>
              <w:sz w:val="24"/>
              <w:szCs w:val="24"/>
              <w:highlight w:val="none"/>
              <w:lang w:val="en-US" w:eastAsia="zh-CN"/>
            </w:rPr>
            <w:instrText xml:space="preserve"> HYPERLINK \l _Toc2719 </w:instrText>
          </w:r>
          <w:r>
            <w:rPr>
              <w:rFonts w:hint="default" w:ascii="Times New Roman" w:hAnsi="Times New Roman" w:eastAsia="宋体" w:cs="Times New Roman"/>
              <w:sz w:val="24"/>
              <w:szCs w:val="24"/>
              <w:highlight w:val="none"/>
              <w:lang w:val="en-US" w:eastAsia="zh-CN"/>
            </w:rPr>
            <w:fldChar w:fldCharType="separate"/>
          </w:r>
          <w:r>
            <w:rPr>
              <w:rFonts w:hint="default" w:ascii="Times New Roman" w:hAnsi="Times New Roman" w:eastAsia="宋体" w:cs="Times New Roman"/>
              <w:sz w:val="24"/>
              <w:szCs w:val="24"/>
              <w:highlight w:val="none"/>
              <w:lang w:val="en-US" w:eastAsia="zh-CN"/>
            </w:rPr>
            <w:t>（四）工程组织实施情况</w:t>
          </w:r>
          <w:r>
            <w:rPr>
              <w:rFonts w:hint="default" w:ascii="Times New Roman" w:hAnsi="Times New Roman" w:eastAsia="宋体" w:cs="Times New Roman"/>
              <w:sz w:val="24"/>
              <w:szCs w:val="24"/>
              <w:highlight w:val="none"/>
              <w:lang w:val="en-US" w:eastAsia="zh-CN"/>
            </w:rPr>
            <w:tab/>
          </w:r>
          <w:r>
            <w:rPr>
              <w:rFonts w:hint="default" w:ascii="Times New Roman" w:hAnsi="Times New Roman" w:eastAsia="宋体" w:cs="Times New Roman"/>
              <w:sz w:val="24"/>
              <w:szCs w:val="24"/>
              <w:highlight w:val="none"/>
              <w:lang w:val="en-US" w:eastAsia="zh-CN"/>
            </w:rPr>
            <w:fldChar w:fldCharType="begin"/>
          </w:r>
          <w:r>
            <w:rPr>
              <w:rFonts w:hint="default" w:ascii="Times New Roman" w:hAnsi="Times New Roman" w:eastAsia="宋体" w:cs="Times New Roman"/>
              <w:sz w:val="24"/>
              <w:szCs w:val="24"/>
              <w:highlight w:val="none"/>
              <w:lang w:val="en-US" w:eastAsia="zh-CN"/>
            </w:rPr>
            <w:instrText xml:space="preserve"> PAGEREF _Toc2719 \h </w:instrText>
          </w:r>
          <w:r>
            <w:rPr>
              <w:rFonts w:hint="default" w:ascii="Times New Roman" w:hAnsi="Times New Roman" w:eastAsia="宋体" w:cs="Times New Roman"/>
              <w:sz w:val="24"/>
              <w:szCs w:val="24"/>
              <w:highlight w:val="none"/>
              <w:lang w:val="en-US" w:eastAsia="zh-CN"/>
            </w:rPr>
            <w:fldChar w:fldCharType="separate"/>
          </w:r>
          <w:r>
            <w:rPr>
              <w:rFonts w:hint="default" w:ascii="Times New Roman" w:hAnsi="Times New Roman" w:eastAsia="宋体" w:cs="Times New Roman"/>
              <w:sz w:val="24"/>
              <w:szCs w:val="24"/>
              <w:highlight w:val="none"/>
              <w:lang w:val="en-US" w:eastAsia="zh-CN"/>
            </w:rPr>
            <w:t>10</w:t>
          </w:r>
          <w:r>
            <w:rPr>
              <w:rFonts w:hint="default" w:ascii="Times New Roman" w:hAnsi="Times New Roman" w:eastAsia="宋体" w:cs="Times New Roman"/>
              <w:sz w:val="24"/>
              <w:szCs w:val="24"/>
              <w:highlight w:val="none"/>
              <w:lang w:val="en-US" w:eastAsia="zh-CN"/>
            </w:rPr>
            <w:fldChar w:fldCharType="end"/>
          </w:r>
          <w:r>
            <w:rPr>
              <w:rFonts w:hint="default" w:ascii="Times New Roman" w:hAnsi="Times New Roman" w:eastAsia="宋体" w:cs="Times New Roman"/>
              <w:sz w:val="24"/>
              <w:szCs w:val="24"/>
              <w:highlight w:val="none"/>
              <w:lang w:val="en-US" w:eastAsia="zh-CN"/>
            </w:rPr>
            <w:fldChar w:fldCharType="end"/>
          </w:r>
        </w:p>
        <w:p w14:paraId="68B4004A">
          <w:pPr>
            <w:pStyle w:val="26"/>
            <w:tabs>
              <w:tab w:val="right" w:leader="dot" w:pos="8845"/>
            </w:tabs>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fldChar w:fldCharType="begin"/>
          </w:r>
          <w:r>
            <w:rPr>
              <w:rFonts w:hint="default" w:ascii="Times New Roman" w:hAnsi="Times New Roman" w:eastAsia="宋体" w:cs="Times New Roman"/>
              <w:sz w:val="24"/>
              <w:szCs w:val="24"/>
              <w:highlight w:val="none"/>
              <w:lang w:val="en-US" w:eastAsia="zh-CN"/>
            </w:rPr>
            <w:instrText xml:space="preserve"> HYPERLINK \l _Toc17487 </w:instrText>
          </w:r>
          <w:r>
            <w:rPr>
              <w:rFonts w:hint="default" w:ascii="Times New Roman" w:hAnsi="Times New Roman" w:eastAsia="宋体" w:cs="Times New Roman"/>
              <w:sz w:val="24"/>
              <w:szCs w:val="24"/>
              <w:highlight w:val="none"/>
              <w:lang w:val="en-US" w:eastAsia="zh-CN"/>
            </w:rPr>
            <w:fldChar w:fldCharType="separate"/>
          </w:r>
          <w:r>
            <w:rPr>
              <w:rFonts w:hint="default" w:ascii="Times New Roman" w:hAnsi="Times New Roman" w:eastAsia="宋体" w:cs="Times New Roman"/>
              <w:sz w:val="24"/>
              <w:szCs w:val="24"/>
              <w:highlight w:val="none"/>
              <w:lang w:val="en-US" w:eastAsia="zh-CN"/>
            </w:rPr>
            <w:t>（五）事故发生经过</w:t>
          </w:r>
          <w:r>
            <w:rPr>
              <w:rFonts w:hint="default" w:ascii="Times New Roman" w:hAnsi="Times New Roman" w:eastAsia="宋体" w:cs="Times New Roman"/>
              <w:sz w:val="24"/>
              <w:szCs w:val="24"/>
              <w:highlight w:val="none"/>
              <w:lang w:val="en-US" w:eastAsia="zh-CN"/>
            </w:rPr>
            <w:tab/>
          </w:r>
          <w:r>
            <w:rPr>
              <w:rFonts w:hint="default" w:ascii="Times New Roman" w:hAnsi="Times New Roman" w:eastAsia="宋体" w:cs="Times New Roman"/>
              <w:sz w:val="24"/>
              <w:szCs w:val="24"/>
              <w:highlight w:val="none"/>
              <w:lang w:val="en-US" w:eastAsia="zh-CN"/>
            </w:rPr>
            <w:fldChar w:fldCharType="begin"/>
          </w:r>
          <w:r>
            <w:rPr>
              <w:rFonts w:hint="default" w:ascii="Times New Roman" w:hAnsi="Times New Roman" w:eastAsia="宋体" w:cs="Times New Roman"/>
              <w:sz w:val="24"/>
              <w:szCs w:val="24"/>
              <w:highlight w:val="none"/>
              <w:lang w:val="en-US" w:eastAsia="zh-CN"/>
            </w:rPr>
            <w:instrText xml:space="preserve"> PAGEREF _Toc17487 \h </w:instrText>
          </w:r>
          <w:r>
            <w:rPr>
              <w:rFonts w:hint="default" w:ascii="Times New Roman" w:hAnsi="Times New Roman" w:eastAsia="宋体" w:cs="Times New Roman"/>
              <w:sz w:val="24"/>
              <w:szCs w:val="24"/>
              <w:highlight w:val="none"/>
              <w:lang w:val="en-US" w:eastAsia="zh-CN"/>
            </w:rPr>
            <w:fldChar w:fldCharType="separate"/>
          </w:r>
          <w:r>
            <w:rPr>
              <w:rFonts w:hint="default" w:ascii="Times New Roman" w:hAnsi="Times New Roman" w:eastAsia="宋体" w:cs="Times New Roman"/>
              <w:sz w:val="24"/>
              <w:szCs w:val="24"/>
              <w:highlight w:val="none"/>
              <w:lang w:val="en-US" w:eastAsia="zh-CN"/>
            </w:rPr>
            <w:t>10</w:t>
          </w:r>
          <w:r>
            <w:rPr>
              <w:rFonts w:hint="default" w:ascii="Times New Roman" w:hAnsi="Times New Roman" w:eastAsia="宋体" w:cs="Times New Roman"/>
              <w:sz w:val="24"/>
              <w:szCs w:val="24"/>
              <w:highlight w:val="none"/>
              <w:lang w:val="en-US" w:eastAsia="zh-CN"/>
            </w:rPr>
            <w:fldChar w:fldCharType="end"/>
          </w:r>
          <w:r>
            <w:rPr>
              <w:rFonts w:hint="default" w:ascii="Times New Roman" w:hAnsi="Times New Roman" w:eastAsia="宋体" w:cs="Times New Roman"/>
              <w:sz w:val="24"/>
              <w:szCs w:val="24"/>
              <w:highlight w:val="none"/>
              <w:lang w:val="en-US" w:eastAsia="zh-CN"/>
            </w:rPr>
            <w:fldChar w:fldCharType="end"/>
          </w:r>
        </w:p>
        <w:p w14:paraId="30B6B92E">
          <w:pPr>
            <w:pStyle w:val="26"/>
            <w:tabs>
              <w:tab w:val="right" w:leader="dot" w:pos="8845"/>
            </w:tabs>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fldChar w:fldCharType="begin"/>
          </w:r>
          <w:r>
            <w:rPr>
              <w:rFonts w:hint="default" w:ascii="Times New Roman" w:hAnsi="Times New Roman" w:eastAsia="宋体" w:cs="Times New Roman"/>
              <w:sz w:val="24"/>
              <w:szCs w:val="24"/>
              <w:highlight w:val="none"/>
              <w:lang w:val="en-US" w:eastAsia="zh-CN"/>
            </w:rPr>
            <w:instrText xml:space="preserve"> HYPERLINK \l _Toc25815 </w:instrText>
          </w:r>
          <w:r>
            <w:rPr>
              <w:rFonts w:hint="default" w:ascii="Times New Roman" w:hAnsi="Times New Roman" w:eastAsia="宋体" w:cs="Times New Roman"/>
              <w:sz w:val="24"/>
              <w:szCs w:val="24"/>
              <w:highlight w:val="none"/>
              <w:lang w:val="en-US" w:eastAsia="zh-CN"/>
            </w:rPr>
            <w:fldChar w:fldCharType="separate"/>
          </w:r>
          <w:r>
            <w:rPr>
              <w:rFonts w:hint="default" w:ascii="Times New Roman" w:hAnsi="Times New Roman" w:eastAsia="宋体" w:cs="Times New Roman"/>
              <w:sz w:val="24"/>
              <w:szCs w:val="24"/>
              <w:highlight w:val="none"/>
              <w:lang w:val="en-US" w:eastAsia="zh-CN"/>
            </w:rPr>
            <w:t>（六）事故现场情况</w:t>
          </w:r>
          <w:r>
            <w:rPr>
              <w:rFonts w:hint="default" w:ascii="Times New Roman" w:hAnsi="Times New Roman" w:eastAsia="宋体" w:cs="Times New Roman"/>
              <w:sz w:val="24"/>
              <w:szCs w:val="24"/>
              <w:highlight w:val="none"/>
              <w:lang w:val="en-US" w:eastAsia="zh-CN"/>
            </w:rPr>
            <w:tab/>
          </w:r>
          <w:r>
            <w:rPr>
              <w:rFonts w:hint="default" w:ascii="Times New Roman" w:hAnsi="Times New Roman" w:eastAsia="宋体" w:cs="Times New Roman"/>
              <w:sz w:val="24"/>
              <w:szCs w:val="24"/>
              <w:highlight w:val="none"/>
              <w:lang w:val="en-US" w:eastAsia="zh-CN"/>
            </w:rPr>
            <w:fldChar w:fldCharType="begin"/>
          </w:r>
          <w:r>
            <w:rPr>
              <w:rFonts w:hint="default" w:ascii="Times New Roman" w:hAnsi="Times New Roman" w:eastAsia="宋体" w:cs="Times New Roman"/>
              <w:sz w:val="24"/>
              <w:szCs w:val="24"/>
              <w:highlight w:val="none"/>
              <w:lang w:val="en-US" w:eastAsia="zh-CN"/>
            </w:rPr>
            <w:instrText xml:space="preserve"> PAGEREF _Toc25815 \h </w:instrText>
          </w:r>
          <w:r>
            <w:rPr>
              <w:rFonts w:hint="default" w:ascii="Times New Roman" w:hAnsi="Times New Roman" w:eastAsia="宋体" w:cs="Times New Roman"/>
              <w:sz w:val="24"/>
              <w:szCs w:val="24"/>
              <w:highlight w:val="none"/>
              <w:lang w:val="en-US" w:eastAsia="zh-CN"/>
            </w:rPr>
            <w:fldChar w:fldCharType="separate"/>
          </w:r>
          <w:r>
            <w:rPr>
              <w:rFonts w:hint="default" w:ascii="Times New Roman" w:hAnsi="Times New Roman" w:eastAsia="宋体" w:cs="Times New Roman"/>
              <w:sz w:val="24"/>
              <w:szCs w:val="24"/>
              <w:highlight w:val="none"/>
              <w:lang w:val="en-US" w:eastAsia="zh-CN"/>
            </w:rPr>
            <w:t>11</w:t>
          </w:r>
          <w:r>
            <w:rPr>
              <w:rFonts w:hint="default" w:ascii="Times New Roman" w:hAnsi="Times New Roman" w:eastAsia="宋体" w:cs="Times New Roman"/>
              <w:sz w:val="24"/>
              <w:szCs w:val="24"/>
              <w:highlight w:val="none"/>
              <w:lang w:val="en-US" w:eastAsia="zh-CN"/>
            </w:rPr>
            <w:fldChar w:fldCharType="end"/>
          </w:r>
          <w:r>
            <w:rPr>
              <w:rFonts w:hint="default" w:ascii="Times New Roman" w:hAnsi="Times New Roman" w:eastAsia="宋体" w:cs="Times New Roman"/>
              <w:sz w:val="24"/>
              <w:szCs w:val="24"/>
              <w:highlight w:val="none"/>
              <w:lang w:val="en-US" w:eastAsia="zh-CN"/>
            </w:rPr>
            <w:fldChar w:fldCharType="end"/>
          </w:r>
        </w:p>
        <w:p w14:paraId="474ECFBC">
          <w:pPr>
            <w:pStyle w:val="26"/>
            <w:tabs>
              <w:tab w:val="right" w:leader="dot" w:pos="8845"/>
            </w:tabs>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fldChar w:fldCharType="begin"/>
          </w:r>
          <w:r>
            <w:rPr>
              <w:rFonts w:hint="default" w:ascii="Times New Roman" w:hAnsi="Times New Roman" w:eastAsia="宋体" w:cs="Times New Roman"/>
              <w:sz w:val="24"/>
              <w:szCs w:val="24"/>
              <w:highlight w:val="none"/>
              <w:lang w:val="en-US" w:eastAsia="zh-CN"/>
            </w:rPr>
            <w:instrText xml:space="preserve"> HYPERLINK \l _Toc1955 </w:instrText>
          </w:r>
          <w:r>
            <w:rPr>
              <w:rFonts w:hint="default" w:ascii="Times New Roman" w:hAnsi="Times New Roman" w:eastAsia="宋体" w:cs="Times New Roman"/>
              <w:sz w:val="24"/>
              <w:szCs w:val="24"/>
              <w:highlight w:val="none"/>
              <w:lang w:val="en-US" w:eastAsia="zh-CN"/>
            </w:rPr>
            <w:fldChar w:fldCharType="separate"/>
          </w:r>
          <w:r>
            <w:rPr>
              <w:rFonts w:hint="default" w:ascii="Times New Roman" w:hAnsi="Times New Roman" w:eastAsia="宋体" w:cs="Times New Roman"/>
              <w:sz w:val="24"/>
              <w:szCs w:val="24"/>
              <w:highlight w:val="none"/>
              <w:lang w:val="en-US" w:eastAsia="zh-CN"/>
            </w:rPr>
            <w:t>（七）事故造成的伤亡人数和直接经济损失</w:t>
          </w:r>
          <w:r>
            <w:rPr>
              <w:rFonts w:hint="default" w:ascii="Times New Roman" w:hAnsi="Times New Roman" w:eastAsia="宋体" w:cs="Times New Roman"/>
              <w:sz w:val="24"/>
              <w:szCs w:val="24"/>
              <w:highlight w:val="none"/>
              <w:lang w:val="en-US" w:eastAsia="zh-CN"/>
            </w:rPr>
            <w:tab/>
          </w:r>
          <w:r>
            <w:rPr>
              <w:rFonts w:hint="default" w:ascii="Times New Roman" w:hAnsi="Times New Roman" w:eastAsia="宋体" w:cs="Times New Roman"/>
              <w:sz w:val="24"/>
              <w:szCs w:val="24"/>
              <w:highlight w:val="none"/>
              <w:lang w:val="en-US" w:eastAsia="zh-CN"/>
            </w:rPr>
            <w:fldChar w:fldCharType="begin"/>
          </w:r>
          <w:r>
            <w:rPr>
              <w:rFonts w:hint="default" w:ascii="Times New Roman" w:hAnsi="Times New Roman" w:eastAsia="宋体" w:cs="Times New Roman"/>
              <w:sz w:val="24"/>
              <w:szCs w:val="24"/>
              <w:highlight w:val="none"/>
              <w:lang w:val="en-US" w:eastAsia="zh-CN"/>
            </w:rPr>
            <w:instrText xml:space="preserve"> PAGEREF _Toc1955 \h </w:instrText>
          </w:r>
          <w:r>
            <w:rPr>
              <w:rFonts w:hint="default" w:ascii="Times New Roman" w:hAnsi="Times New Roman" w:eastAsia="宋体" w:cs="Times New Roman"/>
              <w:sz w:val="24"/>
              <w:szCs w:val="24"/>
              <w:highlight w:val="none"/>
              <w:lang w:val="en-US" w:eastAsia="zh-CN"/>
            </w:rPr>
            <w:fldChar w:fldCharType="separate"/>
          </w:r>
          <w:r>
            <w:rPr>
              <w:rFonts w:hint="default" w:ascii="Times New Roman" w:hAnsi="Times New Roman" w:eastAsia="宋体" w:cs="Times New Roman"/>
              <w:sz w:val="24"/>
              <w:szCs w:val="24"/>
              <w:highlight w:val="none"/>
              <w:lang w:val="en-US" w:eastAsia="zh-CN"/>
            </w:rPr>
            <w:t>13</w:t>
          </w:r>
          <w:r>
            <w:rPr>
              <w:rFonts w:hint="default" w:ascii="Times New Roman" w:hAnsi="Times New Roman" w:eastAsia="宋体" w:cs="Times New Roman"/>
              <w:sz w:val="24"/>
              <w:szCs w:val="24"/>
              <w:highlight w:val="none"/>
              <w:lang w:val="en-US" w:eastAsia="zh-CN"/>
            </w:rPr>
            <w:fldChar w:fldCharType="end"/>
          </w:r>
          <w:r>
            <w:rPr>
              <w:rFonts w:hint="default" w:ascii="Times New Roman" w:hAnsi="Times New Roman" w:eastAsia="宋体" w:cs="Times New Roman"/>
              <w:sz w:val="24"/>
              <w:szCs w:val="24"/>
              <w:highlight w:val="none"/>
              <w:lang w:val="en-US" w:eastAsia="zh-CN"/>
            </w:rPr>
            <w:fldChar w:fldCharType="end"/>
          </w:r>
        </w:p>
        <w:p w14:paraId="50A24142">
          <w:pPr>
            <w:pStyle w:val="26"/>
            <w:tabs>
              <w:tab w:val="right" w:leader="dot" w:pos="8845"/>
            </w:tabs>
            <w:rPr>
              <w:rFonts w:hint="default" w:ascii="Times New Roman" w:hAnsi="Times New Roman" w:eastAsia="宋体" w:cs="Times New Roman"/>
              <w:sz w:val="24"/>
              <w:szCs w:val="24"/>
            </w:rPr>
          </w:pPr>
          <w:r>
            <w:rPr>
              <w:rFonts w:hint="default" w:ascii="Times New Roman" w:hAnsi="Times New Roman" w:eastAsia="宋体" w:cs="Times New Roman"/>
              <w:sz w:val="24"/>
              <w:szCs w:val="24"/>
              <w:highlight w:val="none"/>
              <w:lang w:val="en-US" w:eastAsia="zh-CN"/>
            </w:rPr>
            <w:fldChar w:fldCharType="begin"/>
          </w:r>
          <w:r>
            <w:rPr>
              <w:rFonts w:hint="default" w:ascii="Times New Roman" w:hAnsi="Times New Roman" w:eastAsia="宋体" w:cs="Times New Roman"/>
              <w:sz w:val="24"/>
              <w:szCs w:val="24"/>
              <w:highlight w:val="none"/>
              <w:lang w:val="en-US" w:eastAsia="zh-CN"/>
            </w:rPr>
            <w:instrText xml:space="preserve"> HYPERLINK \l _Toc2692 </w:instrText>
          </w:r>
          <w:r>
            <w:rPr>
              <w:rFonts w:hint="default" w:ascii="Times New Roman" w:hAnsi="Times New Roman" w:eastAsia="宋体" w:cs="Times New Roman"/>
              <w:sz w:val="24"/>
              <w:szCs w:val="24"/>
              <w:highlight w:val="none"/>
              <w:lang w:val="en-US" w:eastAsia="zh-CN"/>
            </w:rPr>
            <w:fldChar w:fldCharType="separate"/>
          </w:r>
          <w:r>
            <w:rPr>
              <w:rFonts w:hint="default" w:ascii="Times New Roman" w:hAnsi="Times New Roman" w:eastAsia="宋体" w:cs="Times New Roman"/>
              <w:sz w:val="24"/>
              <w:szCs w:val="24"/>
              <w:highlight w:val="none"/>
              <w:lang w:val="en-US" w:eastAsia="zh-CN"/>
            </w:rPr>
            <w:t>（八）其他情况</w:t>
          </w:r>
          <w:r>
            <w:rPr>
              <w:rFonts w:hint="default" w:ascii="Times New Roman" w:hAnsi="Times New Roman" w:eastAsia="宋体" w:cs="Times New Roman"/>
              <w:sz w:val="24"/>
              <w:szCs w:val="24"/>
              <w:highlight w:val="none"/>
              <w:lang w:val="en-US" w:eastAsia="zh-CN"/>
            </w:rPr>
            <w:tab/>
          </w:r>
          <w:r>
            <w:rPr>
              <w:rFonts w:hint="default" w:ascii="Times New Roman" w:hAnsi="Times New Roman" w:eastAsia="宋体" w:cs="Times New Roman"/>
              <w:sz w:val="24"/>
              <w:szCs w:val="24"/>
              <w:highlight w:val="none"/>
              <w:lang w:val="en-US" w:eastAsia="zh-CN"/>
            </w:rPr>
            <w:fldChar w:fldCharType="begin"/>
          </w:r>
          <w:r>
            <w:rPr>
              <w:rFonts w:hint="default" w:ascii="Times New Roman" w:hAnsi="Times New Roman" w:eastAsia="宋体" w:cs="Times New Roman"/>
              <w:sz w:val="24"/>
              <w:szCs w:val="24"/>
              <w:highlight w:val="none"/>
              <w:lang w:val="en-US" w:eastAsia="zh-CN"/>
            </w:rPr>
            <w:instrText xml:space="preserve"> PAGEREF _Toc2692 \h </w:instrText>
          </w:r>
          <w:r>
            <w:rPr>
              <w:rFonts w:hint="default" w:ascii="Times New Roman" w:hAnsi="Times New Roman" w:eastAsia="宋体" w:cs="Times New Roman"/>
              <w:sz w:val="24"/>
              <w:szCs w:val="24"/>
              <w:highlight w:val="none"/>
              <w:lang w:val="en-US" w:eastAsia="zh-CN"/>
            </w:rPr>
            <w:fldChar w:fldCharType="separate"/>
          </w:r>
          <w:r>
            <w:rPr>
              <w:rFonts w:hint="default" w:ascii="Times New Roman" w:hAnsi="Times New Roman" w:eastAsia="宋体" w:cs="Times New Roman"/>
              <w:sz w:val="24"/>
              <w:szCs w:val="24"/>
              <w:highlight w:val="none"/>
              <w:lang w:val="en-US" w:eastAsia="zh-CN"/>
            </w:rPr>
            <w:t>13</w:t>
          </w:r>
          <w:r>
            <w:rPr>
              <w:rFonts w:hint="default" w:ascii="Times New Roman" w:hAnsi="Times New Roman" w:eastAsia="宋体" w:cs="Times New Roman"/>
              <w:sz w:val="24"/>
              <w:szCs w:val="24"/>
              <w:highlight w:val="none"/>
              <w:lang w:val="en-US" w:eastAsia="zh-CN"/>
            </w:rPr>
            <w:fldChar w:fldCharType="end"/>
          </w:r>
          <w:r>
            <w:rPr>
              <w:rFonts w:hint="default" w:ascii="Times New Roman" w:hAnsi="Times New Roman" w:eastAsia="宋体" w:cs="Times New Roman"/>
              <w:sz w:val="24"/>
              <w:szCs w:val="24"/>
              <w:highlight w:val="none"/>
              <w:lang w:val="en-US" w:eastAsia="zh-CN"/>
            </w:rPr>
            <w:fldChar w:fldCharType="end"/>
          </w:r>
        </w:p>
        <w:p w14:paraId="50F47481">
          <w:pPr>
            <w:pStyle w:val="25"/>
            <w:tabs>
              <w:tab w:val="right" w:leader="dot" w:pos="8845"/>
            </w:tabs>
            <w:rPr>
              <w:rFonts w:hint="default" w:ascii="Times New Roman" w:hAnsi="Times New Roman" w:eastAsia="宋体" w:cs="Times New Roman"/>
              <w:b/>
              <w:sz w:val="24"/>
              <w:szCs w:val="24"/>
            </w:rPr>
          </w:pPr>
          <w:r>
            <w:rPr>
              <w:rFonts w:hint="default" w:ascii="Times New Roman" w:hAnsi="Times New Roman" w:eastAsia="宋体" w:cs="Times New Roman"/>
              <w:b/>
              <w:kern w:val="2"/>
              <w:sz w:val="24"/>
              <w:szCs w:val="24"/>
              <w:highlight w:val="none"/>
              <w:lang w:val="en-US" w:eastAsia="zh-CN" w:bidi="ar-SA"/>
            </w:rPr>
            <w:fldChar w:fldCharType="begin"/>
          </w:r>
          <w:r>
            <w:rPr>
              <w:rFonts w:hint="default" w:ascii="Times New Roman" w:hAnsi="Times New Roman" w:eastAsia="宋体" w:cs="Times New Roman"/>
              <w:b/>
              <w:kern w:val="2"/>
              <w:sz w:val="24"/>
              <w:szCs w:val="24"/>
              <w:highlight w:val="none"/>
              <w:lang w:val="en-US" w:eastAsia="zh-CN" w:bidi="ar-SA"/>
            </w:rPr>
            <w:instrText xml:space="preserve"> HYPERLINK \l _Toc5824 </w:instrText>
          </w:r>
          <w:r>
            <w:rPr>
              <w:rFonts w:hint="default" w:ascii="Times New Roman" w:hAnsi="Times New Roman" w:eastAsia="宋体" w:cs="Times New Roman"/>
              <w:b/>
              <w:kern w:val="2"/>
              <w:sz w:val="24"/>
              <w:szCs w:val="24"/>
              <w:highlight w:val="none"/>
              <w:lang w:val="en-US" w:eastAsia="zh-CN" w:bidi="ar-SA"/>
            </w:rPr>
            <w:fldChar w:fldCharType="separate"/>
          </w:r>
          <w:r>
            <w:rPr>
              <w:rFonts w:hint="default" w:ascii="Times New Roman" w:hAnsi="Times New Roman" w:eastAsia="黑体" w:cs="Times New Roman"/>
              <w:b w:val="0"/>
              <w:bCs/>
              <w:sz w:val="24"/>
              <w:szCs w:val="24"/>
              <w:highlight w:val="none"/>
              <w:lang w:val="en-US" w:eastAsia="zh-CN"/>
            </w:rPr>
            <w:t>二</w:t>
          </w:r>
          <w:r>
            <w:rPr>
              <w:rFonts w:hint="default" w:ascii="Times New Roman" w:hAnsi="Times New Roman" w:eastAsia="黑体" w:cs="Times New Roman"/>
              <w:b w:val="0"/>
              <w:bCs/>
              <w:sz w:val="24"/>
              <w:szCs w:val="24"/>
              <w:highlight w:val="none"/>
              <w:lang w:eastAsia="zh-CN"/>
            </w:rPr>
            <w:t>、</w:t>
          </w:r>
          <w:r>
            <w:rPr>
              <w:rFonts w:hint="default" w:ascii="Times New Roman" w:hAnsi="Times New Roman" w:eastAsia="黑体" w:cs="Times New Roman"/>
              <w:b w:val="0"/>
              <w:bCs/>
              <w:sz w:val="24"/>
              <w:szCs w:val="24"/>
              <w:highlight w:val="none"/>
              <w:lang w:val="en-US" w:eastAsia="zh-CN"/>
            </w:rPr>
            <w:t>事故应急处置及评估情况</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_Toc5824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13</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kern w:val="2"/>
              <w:sz w:val="24"/>
              <w:szCs w:val="24"/>
              <w:highlight w:val="none"/>
              <w:lang w:val="en-US" w:eastAsia="zh-CN" w:bidi="ar-SA"/>
            </w:rPr>
            <w:fldChar w:fldCharType="end"/>
          </w:r>
        </w:p>
        <w:p w14:paraId="3F57622B">
          <w:pPr>
            <w:pStyle w:val="26"/>
            <w:tabs>
              <w:tab w:val="right" w:leader="dot" w:pos="8845"/>
            </w:tabs>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fldChar w:fldCharType="begin"/>
          </w:r>
          <w:r>
            <w:rPr>
              <w:rFonts w:hint="default" w:ascii="Times New Roman" w:hAnsi="Times New Roman" w:eastAsia="宋体" w:cs="Times New Roman"/>
              <w:sz w:val="24"/>
              <w:szCs w:val="24"/>
              <w:highlight w:val="none"/>
              <w:lang w:val="en-US" w:eastAsia="zh-CN"/>
            </w:rPr>
            <w:instrText xml:space="preserve"> HYPERLINK \l _Toc28514 </w:instrText>
          </w:r>
          <w:r>
            <w:rPr>
              <w:rFonts w:hint="default" w:ascii="Times New Roman" w:hAnsi="Times New Roman" w:eastAsia="宋体" w:cs="Times New Roman"/>
              <w:sz w:val="24"/>
              <w:szCs w:val="24"/>
              <w:highlight w:val="none"/>
              <w:lang w:val="en-US" w:eastAsia="zh-CN"/>
            </w:rPr>
            <w:fldChar w:fldCharType="separate"/>
          </w:r>
          <w:r>
            <w:rPr>
              <w:rFonts w:hint="default" w:ascii="Times New Roman" w:hAnsi="Times New Roman" w:eastAsia="宋体" w:cs="Times New Roman"/>
              <w:sz w:val="24"/>
              <w:szCs w:val="24"/>
              <w:highlight w:val="none"/>
              <w:lang w:val="en-US" w:eastAsia="zh-CN"/>
            </w:rPr>
            <w:t>（一）事故信息接报情况</w:t>
          </w:r>
          <w:r>
            <w:rPr>
              <w:rFonts w:hint="default" w:ascii="Times New Roman" w:hAnsi="Times New Roman" w:eastAsia="宋体" w:cs="Times New Roman"/>
              <w:sz w:val="24"/>
              <w:szCs w:val="24"/>
              <w:highlight w:val="none"/>
              <w:lang w:val="en-US" w:eastAsia="zh-CN"/>
            </w:rPr>
            <w:tab/>
          </w:r>
          <w:r>
            <w:rPr>
              <w:rFonts w:hint="default" w:ascii="Times New Roman" w:hAnsi="Times New Roman" w:eastAsia="宋体" w:cs="Times New Roman"/>
              <w:sz w:val="24"/>
              <w:szCs w:val="24"/>
              <w:highlight w:val="none"/>
              <w:lang w:val="en-US" w:eastAsia="zh-CN"/>
            </w:rPr>
            <w:fldChar w:fldCharType="begin"/>
          </w:r>
          <w:r>
            <w:rPr>
              <w:rFonts w:hint="default" w:ascii="Times New Roman" w:hAnsi="Times New Roman" w:eastAsia="宋体" w:cs="Times New Roman"/>
              <w:sz w:val="24"/>
              <w:szCs w:val="24"/>
              <w:highlight w:val="none"/>
              <w:lang w:val="en-US" w:eastAsia="zh-CN"/>
            </w:rPr>
            <w:instrText xml:space="preserve"> PAGEREF _Toc28514 \h </w:instrText>
          </w:r>
          <w:r>
            <w:rPr>
              <w:rFonts w:hint="default" w:ascii="Times New Roman" w:hAnsi="Times New Roman" w:eastAsia="宋体" w:cs="Times New Roman"/>
              <w:sz w:val="24"/>
              <w:szCs w:val="24"/>
              <w:highlight w:val="none"/>
              <w:lang w:val="en-US" w:eastAsia="zh-CN"/>
            </w:rPr>
            <w:fldChar w:fldCharType="separate"/>
          </w:r>
          <w:r>
            <w:rPr>
              <w:rFonts w:hint="default" w:ascii="Times New Roman" w:hAnsi="Times New Roman" w:eastAsia="宋体" w:cs="Times New Roman"/>
              <w:sz w:val="24"/>
              <w:szCs w:val="24"/>
              <w:highlight w:val="none"/>
              <w:lang w:val="en-US" w:eastAsia="zh-CN"/>
            </w:rPr>
            <w:t>13</w:t>
          </w:r>
          <w:r>
            <w:rPr>
              <w:rFonts w:hint="default" w:ascii="Times New Roman" w:hAnsi="Times New Roman" w:eastAsia="宋体" w:cs="Times New Roman"/>
              <w:sz w:val="24"/>
              <w:szCs w:val="24"/>
              <w:highlight w:val="none"/>
              <w:lang w:val="en-US" w:eastAsia="zh-CN"/>
            </w:rPr>
            <w:fldChar w:fldCharType="end"/>
          </w:r>
          <w:r>
            <w:rPr>
              <w:rFonts w:hint="default" w:ascii="Times New Roman" w:hAnsi="Times New Roman" w:eastAsia="宋体" w:cs="Times New Roman"/>
              <w:sz w:val="24"/>
              <w:szCs w:val="24"/>
              <w:highlight w:val="none"/>
              <w:lang w:val="en-US" w:eastAsia="zh-CN"/>
            </w:rPr>
            <w:fldChar w:fldCharType="end"/>
          </w:r>
        </w:p>
        <w:p w14:paraId="033DDF65">
          <w:pPr>
            <w:pStyle w:val="26"/>
            <w:tabs>
              <w:tab w:val="right" w:leader="dot" w:pos="8845"/>
            </w:tabs>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fldChar w:fldCharType="begin"/>
          </w:r>
          <w:r>
            <w:rPr>
              <w:rFonts w:hint="default" w:ascii="Times New Roman" w:hAnsi="Times New Roman" w:eastAsia="宋体" w:cs="Times New Roman"/>
              <w:sz w:val="24"/>
              <w:szCs w:val="24"/>
              <w:highlight w:val="none"/>
              <w:lang w:val="en-US" w:eastAsia="zh-CN"/>
            </w:rPr>
            <w:instrText xml:space="preserve"> HYPERLINK \l _Toc31149 </w:instrText>
          </w:r>
          <w:r>
            <w:rPr>
              <w:rFonts w:hint="default" w:ascii="Times New Roman" w:hAnsi="Times New Roman" w:eastAsia="宋体" w:cs="Times New Roman"/>
              <w:sz w:val="24"/>
              <w:szCs w:val="24"/>
              <w:highlight w:val="none"/>
              <w:lang w:val="en-US" w:eastAsia="zh-CN"/>
            </w:rPr>
            <w:fldChar w:fldCharType="separate"/>
          </w:r>
          <w:r>
            <w:rPr>
              <w:rFonts w:hint="default" w:ascii="Times New Roman" w:hAnsi="Times New Roman" w:eastAsia="宋体" w:cs="Times New Roman"/>
              <w:sz w:val="24"/>
              <w:szCs w:val="24"/>
              <w:highlight w:val="none"/>
              <w:lang w:val="en-US" w:eastAsia="zh-CN"/>
            </w:rPr>
            <w:t>（二）应急处置情况</w:t>
          </w:r>
          <w:r>
            <w:rPr>
              <w:rFonts w:hint="default" w:ascii="Times New Roman" w:hAnsi="Times New Roman" w:eastAsia="宋体" w:cs="Times New Roman"/>
              <w:sz w:val="24"/>
              <w:szCs w:val="24"/>
              <w:highlight w:val="none"/>
              <w:lang w:val="en-US" w:eastAsia="zh-CN"/>
            </w:rPr>
            <w:tab/>
          </w:r>
          <w:r>
            <w:rPr>
              <w:rFonts w:hint="default" w:ascii="Times New Roman" w:hAnsi="Times New Roman" w:eastAsia="宋体" w:cs="Times New Roman"/>
              <w:sz w:val="24"/>
              <w:szCs w:val="24"/>
              <w:highlight w:val="none"/>
              <w:lang w:val="en-US" w:eastAsia="zh-CN"/>
            </w:rPr>
            <w:fldChar w:fldCharType="begin"/>
          </w:r>
          <w:r>
            <w:rPr>
              <w:rFonts w:hint="default" w:ascii="Times New Roman" w:hAnsi="Times New Roman" w:eastAsia="宋体" w:cs="Times New Roman"/>
              <w:sz w:val="24"/>
              <w:szCs w:val="24"/>
              <w:highlight w:val="none"/>
              <w:lang w:val="en-US" w:eastAsia="zh-CN"/>
            </w:rPr>
            <w:instrText xml:space="preserve"> PAGEREF _Toc31149 \h </w:instrText>
          </w:r>
          <w:r>
            <w:rPr>
              <w:rFonts w:hint="default" w:ascii="Times New Roman" w:hAnsi="Times New Roman" w:eastAsia="宋体" w:cs="Times New Roman"/>
              <w:sz w:val="24"/>
              <w:szCs w:val="24"/>
              <w:highlight w:val="none"/>
              <w:lang w:val="en-US" w:eastAsia="zh-CN"/>
            </w:rPr>
            <w:fldChar w:fldCharType="separate"/>
          </w:r>
          <w:r>
            <w:rPr>
              <w:rFonts w:hint="default" w:ascii="Times New Roman" w:hAnsi="Times New Roman" w:eastAsia="宋体" w:cs="Times New Roman"/>
              <w:sz w:val="24"/>
              <w:szCs w:val="24"/>
              <w:highlight w:val="none"/>
              <w:lang w:val="en-US" w:eastAsia="zh-CN"/>
            </w:rPr>
            <w:t>14</w:t>
          </w:r>
          <w:r>
            <w:rPr>
              <w:rFonts w:hint="default" w:ascii="Times New Roman" w:hAnsi="Times New Roman" w:eastAsia="宋体" w:cs="Times New Roman"/>
              <w:sz w:val="24"/>
              <w:szCs w:val="24"/>
              <w:highlight w:val="none"/>
              <w:lang w:val="en-US" w:eastAsia="zh-CN"/>
            </w:rPr>
            <w:fldChar w:fldCharType="end"/>
          </w:r>
          <w:r>
            <w:rPr>
              <w:rFonts w:hint="default" w:ascii="Times New Roman" w:hAnsi="Times New Roman" w:eastAsia="宋体" w:cs="Times New Roman"/>
              <w:sz w:val="24"/>
              <w:szCs w:val="24"/>
              <w:highlight w:val="none"/>
              <w:lang w:val="en-US" w:eastAsia="zh-CN"/>
            </w:rPr>
            <w:fldChar w:fldCharType="end"/>
          </w:r>
        </w:p>
        <w:p w14:paraId="0CFB1B16">
          <w:pPr>
            <w:pStyle w:val="26"/>
            <w:tabs>
              <w:tab w:val="right" w:leader="dot" w:pos="8845"/>
            </w:tabs>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fldChar w:fldCharType="begin"/>
          </w:r>
          <w:r>
            <w:rPr>
              <w:rFonts w:hint="default" w:ascii="Times New Roman" w:hAnsi="Times New Roman" w:eastAsia="宋体" w:cs="Times New Roman"/>
              <w:sz w:val="24"/>
              <w:szCs w:val="24"/>
              <w:highlight w:val="none"/>
              <w:lang w:val="en-US" w:eastAsia="zh-CN"/>
            </w:rPr>
            <w:instrText xml:space="preserve"> HYPERLINK \l _Toc14763 </w:instrText>
          </w:r>
          <w:r>
            <w:rPr>
              <w:rFonts w:hint="default" w:ascii="Times New Roman" w:hAnsi="Times New Roman" w:eastAsia="宋体" w:cs="Times New Roman"/>
              <w:sz w:val="24"/>
              <w:szCs w:val="24"/>
              <w:highlight w:val="none"/>
              <w:lang w:val="en-US" w:eastAsia="zh-CN"/>
            </w:rPr>
            <w:fldChar w:fldCharType="separate"/>
          </w:r>
          <w:r>
            <w:rPr>
              <w:rFonts w:hint="default" w:ascii="Times New Roman" w:hAnsi="Times New Roman" w:eastAsia="宋体" w:cs="Times New Roman"/>
              <w:sz w:val="24"/>
              <w:szCs w:val="24"/>
              <w:highlight w:val="none"/>
              <w:lang w:val="en-US" w:eastAsia="zh-CN"/>
            </w:rPr>
            <w:t>（三）善后处置情况</w:t>
          </w:r>
          <w:r>
            <w:rPr>
              <w:rFonts w:hint="default" w:ascii="Times New Roman" w:hAnsi="Times New Roman" w:eastAsia="宋体" w:cs="Times New Roman"/>
              <w:sz w:val="24"/>
              <w:szCs w:val="24"/>
              <w:highlight w:val="none"/>
              <w:lang w:val="en-US" w:eastAsia="zh-CN"/>
            </w:rPr>
            <w:tab/>
          </w:r>
          <w:r>
            <w:rPr>
              <w:rFonts w:hint="default" w:ascii="Times New Roman" w:hAnsi="Times New Roman" w:eastAsia="宋体" w:cs="Times New Roman"/>
              <w:sz w:val="24"/>
              <w:szCs w:val="24"/>
              <w:highlight w:val="none"/>
              <w:lang w:val="en-US" w:eastAsia="zh-CN"/>
            </w:rPr>
            <w:fldChar w:fldCharType="begin"/>
          </w:r>
          <w:r>
            <w:rPr>
              <w:rFonts w:hint="default" w:ascii="Times New Roman" w:hAnsi="Times New Roman" w:eastAsia="宋体" w:cs="Times New Roman"/>
              <w:sz w:val="24"/>
              <w:szCs w:val="24"/>
              <w:highlight w:val="none"/>
              <w:lang w:val="en-US" w:eastAsia="zh-CN"/>
            </w:rPr>
            <w:instrText xml:space="preserve"> PAGEREF _Toc14763 \h </w:instrText>
          </w:r>
          <w:r>
            <w:rPr>
              <w:rFonts w:hint="default" w:ascii="Times New Roman" w:hAnsi="Times New Roman" w:eastAsia="宋体" w:cs="Times New Roman"/>
              <w:sz w:val="24"/>
              <w:szCs w:val="24"/>
              <w:highlight w:val="none"/>
              <w:lang w:val="en-US" w:eastAsia="zh-CN"/>
            </w:rPr>
            <w:fldChar w:fldCharType="separate"/>
          </w:r>
          <w:r>
            <w:rPr>
              <w:rFonts w:hint="default" w:ascii="Times New Roman" w:hAnsi="Times New Roman" w:eastAsia="宋体" w:cs="Times New Roman"/>
              <w:sz w:val="24"/>
              <w:szCs w:val="24"/>
              <w:highlight w:val="none"/>
              <w:lang w:val="en-US" w:eastAsia="zh-CN"/>
            </w:rPr>
            <w:t>14</w:t>
          </w:r>
          <w:r>
            <w:rPr>
              <w:rFonts w:hint="default" w:ascii="Times New Roman" w:hAnsi="Times New Roman" w:eastAsia="宋体" w:cs="Times New Roman"/>
              <w:sz w:val="24"/>
              <w:szCs w:val="24"/>
              <w:highlight w:val="none"/>
              <w:lang w:val="en-US" w:eastAsia="zh-CN"/>
            </w:rPr>
            <w:fldChar w:fldCharType="end"/>
          </w:r>
          <w:r>
            <w:rPr>
              <w:rFonts w:hint="default" w:ascii="Times New Roman" w:hAnsi="Times New Roman" w:eastAsia="宋体" w:cs="Times New Roman"/>
              <w:sz w:val="24"/>
              <w:szCs w:val="24"/>
              <w:highlight w:val="none"/>
              <w:lang w:val="en-US" w:eastAsia="zh-CN"/>
            </w:rPr>
            <w:fldChar w:fldCharType="end"/>
          </w:r>
        </w:p>
        <w:p w14:paraId="1268F5CF">
          <w:pPr>
            <w:pStyle w:val="26"/>
            <w:tabs>
              <w:tab w:val="right" w:leader="dot" w:pos="8845"/>
            </w:tabs>
            <w:rPr>
              <w:rFonts w:hint="default" w:ascii="Times New Roman" w:hAnsi="Times New Roman" w:eastAsia="宋体" w:cs="Times New Roman"/>
              <w:sz w:val="24"/>
              <w:szCs w:val="24"/>
            </w:rPr>
          </w:pPr>
          <w:r>
            <w:rPr>
              <w:rFonts w:hint="default" w:ascii="Times New Roman" w:hAnsi="Times New Roman" w:eastAsia="宋体" w:cs="Times New Roman"/>
              <w:sz w:val="24"/>
              <w:szCs w:val="24"/>
              <w:highlight w:val="none"/>
              <w:lang w:val="en-US" w:eastAsia="zh-CN"/>
            </w:rPr>
            <w:fldChar w:fldCharType="begin"/>
          </w:r>
          <w:r>
            <w:rPr>
              <w:rFonts w:hint="default" w:ascii="Times New Roman" w:hAnsi="Times New Roman" w:eastAsia="宋体" w:cs="Times New Roman"/>
              <w:sz w:val="24"/>
              <w:szCs w:val="24"/>
              <w:highlight w:val="none"/>
              <w:lang w:val="en-US" w:eastAsia="zh-CN"/>
            </w:rPr>
            <w:instrText xml:space="preserve"> HYPERLINK \l _Toc19136 </w:instrText>
          </w:r>
          <w:r>
            <w:rPr>
              <w:rFonts w:hint="default" w:ascii="Times New Roman" w:hAnsi="Times New Roman" w:eastAsia="宋体" w:cs="Times New Roman"/>
              <w:sz w:val="24"/>
              <w:szCs w:val="24"/>
              <w:highlight w:val="none"/>
              <w:lang w:val="en-US" w:eastAsia="zh-CN"/>
            </w:rPr>
            <w:fldChar w:fldCharType="separate"/>
          </w:r>
          <w:r>
            <w:rPr>
              <w:rFonts w:hint="default" w:ascii="Times New Roman" w:hAnsi="Times New Roman" w:eastAsia="宋体" w:cs="Times New Roman"/>
              <w:sz w:val="24"/>
              <w:szCs w:val="24"/>
              <w:highlight w:val="none"/>
              <w:lang w:val="en-US" w:eastAsia="zh-CN"/>
            </w:rPr>
            <w:t>（四）事故应急处置评估</w:t>
          </w:r>
          <w:r>
            <w:rPr>
              <w:rFonts w:hint="default" w:ascii="Times New Roman" w:hAnsi="Times New Roman" w:eastAsia="宋体" w:cs="Times New Roman"/>
              <w:sz w:val="24"/>
              <w:szCs w:val="24"/>
              <w:highlight w:val="none"/>
              <w:lang w:val="en-US" w:eastAsia="zh-CN"/>
            </w:rPr>
            <w:tab/>
          </w:r>
          <w:r>
            <w:rPr>
              <w:rFonts w:hint="default" w:ascii="Times New Roman" w:hAnsi="Times New Roman" w:eastAsia="宋体" w:cs="Times New Roman"/>
              <w:sz w:val="24"/>
              <w:szCs w:val="24"/>
              <w:highlight w:val="none"/>
              <w:lang w:val="en-US" w:eastAsia="zh-CN"/>
            </w:rPr>
            <w:fldChar w:fldCharType="begin"/>
          </w:r>
          <w:r>
            <w:rPr>
              <w:rFonts w:hint="default" w:ascii="Times New Roman" w:hAnsi="Times New Roman" w:eastAsia="宋体" w:cs="Times New Roman"/>
              <w:sz w:val="24"/>
              <w:szCs w:val="24"/>
              <w:highlight w:val="none"/>
              <w:lang w:val="en-US" w:eastAsia="zh-CN"/>
            </w:rPr>
            <w:instrText xml:space="preserve"> PAGEREF _Toc19136 \h </w:instrText>
          </w:r>
          <w:r>
            <w:rPr>
              <w:rFonts w:hint="default" w:ascii="Times New Roman" w:hAnsi="Times New Roman" w:eastAsia="宋体" w:cs="Times New Roman"/>
              <w:sz w:val="24"/>
              <w:szCs w:val="24"/>
              <w:highlight w:val="none"/>
              <w:lang w:val="en-US" w:eastAsia="zh-CN"/>
            </w:rPr>
            <w:fldChar w:fldCharType="separate"/>
          </w:r>
          <w:r>
            <w:rPr>
              <w:rFonts w:hint="default" w:ascii="Times New Roman" w:hAnsi="Times New Roman" w:eastAsia="宋体" w:cs="Times New Roman"/>
              <w:sz w:val="24"/>
              <w:szCs w:val="24"/>
              <w:highlight w:val="none"/>
              <w:lang w:val="en-US" w:eastAsia="zh-CN"/>
            </w:rPr>
            <w:t>14</w:t>
          </w:r>
          <w:r>
            <w:rPr>
              <w:rFonts w:hint="default" w:ascii="Times New Roman" w:hAnsi="Times New Roman" w:eastAsia="宋体" w:cs="Times New Roman"/>
              <w:sz w:val="24"/>
              <w:szCs w:val="24"/>
              <w:highlight w:val="none"/>
              <w:lang w:val="en-US" w:eastAsia="zh-CN"/>
            </w:rPr>
            <w:fldChar w:fldCharType="end"/>
          </w:r>
          <w:r>
            <w:rPr>
              <w:rFonts w:hint="default" w:ascii="Times New Roman" w:hAnsi="Times New Roman" w:eastAsia="宋体" w:cs="Times New Roman"/>
              <w:sz w:val="24"/>
              <w:szCs w:val="24"/>
              <w:highlight w:val="none"/>
              <w:lang w:val="en-US" w:eastAsia="zh-CN"/>
            </w:rPr>
            <w:fldChar w:fldCharType="end"/>
          </w:r>
        </w:p>
        <w:p w14:paraId="6B50A5F6">
          <w:pPr>
            <w:pStyle w:val="25"/>
            <w:tabs>
              <w:tab w:val="right" w:leader="dot" w:pos="8845"/>
            </w:tabs>
            <w:rPr>
              <w:rFonts w:hint="default" w:ascii="Times New Roman" w:hAnsi="Times New Roman" w:eastAsia="宋体" w:cs="Times New Roman"/>
              <w:b/>
              <w:sz w:val="24"/>
              <w:szCs w:val="24"/>
            </w:rPr>
          </w:pPr>
          <w:r>
            <w:rPr>
              <w:rFonts w:hint="default" w:ascii="Times New Roman" w:hAnsi="Times New Roman" w:eastAsia="宋体" w:cs="Times New Roman"/>
              <w:b/>
              <w:kern w:val="2"/>
              <w:sz w:val="24"/>
              <w:szCs w:val="24"/>
              <w:highlight w:val="none"/>
              <w:lang w:val="en-US" w:eastAsia="zh-CN" w:bidi="ar-SA"/>
            </w:rPr>
            <w:fldChar w:fldCharType="begin"/>
          </w:r>
          <w:r>
            <w:rPr>
              <w:rFonts w:hint="default" w:ascii="Times New Roman" w:hAnsi="Times New Roman" w:eastAsia="宋体" w:cs="Times New Roman"/>
              <w:b/>
              <w:kern w:val="2"/>
              <w:sz w:val="24"/>
              <w:szCs w:val="24"/>
              <w:highlight w:val="none"/>
              <w:lang w:val="en-US" w:eastAsia="zh-CN" w:bidi="ar-SA"/>
            </w:rPr>
            <w:instrText xml:space="preserve"> HYPERLINK \l _Toc6975 </w:instrText>
          </w:r>
          <w:r>
            <w:rPr>
              <w:rFonts w:hint="default" w:ascii="Times New Roman" w:hAnsi="Times New Roman" w:eastAsia="宋体" w:cs="Times New Roman"/>
              <w:b/>
              <w:kern w:val="2"/>
              <w:sz w:val="24"/>
              <w:szCs w:val="24"/>
              <w:highlight w:val="none"/>
              <w:lang w:val="en-US" w:eastAsia="zh-CN" w:bidi="ar-SA"/>
            </w:rPr>
            <w:fldChar w:fldCharType="separate"/>
          </w:r>
          <w:r>
            <w:rPr>
              <w:rFonts w:hint="default" w:ascii="Times New Roman" w:hAnsi="Times New Roman" w:eastAsia="黑体" w:cs="Times New Roman"/>
              <w:b w:val="0"/>
              <w:bCs/>
              <w:sz w:val="24"/>
              <w:szCs w:val="24"/>
              <w:highlight w:val="none"/>
              <w:lang w:val="en-US" w:eastAsia="zh-CN"/>
            </w:rPr>
            <w:t>三</w:t>
          </w:r>
          <w:r>
            <w:rPr>
              <w:rFonts w:hint="default" w:ascii="Times New Roman" w:hAnsi="Times New Roman" w:eastAsia="黑体" w:cs="Times New Roman"/>
              <w:b w:val="0"/>
              <w:bCs/>
              <w:sz w:val="24"/>
              <w:szCs w:val="24"/>
              <w:highlight w:val="none"/>
            </w:rPr>
            <w:t>、事故原因</w:t>
          </w:r>
          <w:r>
            <w:rPr>
              <w:rFonts w:hint="default" w:ascii="Times New Roman" w:hAnsi="Times New Roman" w:eastAsia="黑体" w:cs="Times New Roman"/>
              <w:b w:val="0"/>
              <w:bCs/>
              <w:sz w:val="24"/>
              <w:szCs w:val="24"/>
              <w:highlight w:val="none"/>
              <w:lang w:val="en-US" w:eastAsia="zh-CN"/>
            </w:rPr>
            <w:t>分析</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_Toc6975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14</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kern w:val="2"/>
              <w:sz w:val="24"/>
              <w:szCs w:val="24"/>
              <w:highlight w:val="none"/>
              <w:lang w:val="en-US" w:eastAsia="zh-CN" w:bidi="ar-SA"/>
            </w:rPr>
            <w:fldChar w:fldCharType="end"/>
          </w:r>
        </w:p>
        <w:p w14:paraId="2A22512D">
          <w:pPr>
            <w:pStyle w:val="26"/>
            <w:tabs>
              <w:tab w:val="right" w:leader="dot" w:pos="8845"/>
            </w:tabs>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highlight w:val="none"/>
              <w:lang w:val="en-US" w:eastAsia="zh-CN" w:bidi="ar-SA"/>
            </w:rPr>
            <w:fldChar w:fldCharType="begin"/>
          </w:r>
          <w:r>
            <w:rPr>
              <w:rFonts w:hint="default" w:ascii="Times New Roman" w:hAnsi="Times New Roman" w:eastAsia="宋体" w:cs="Times New Roman"/>
              <w:kern w:val="2"/>
              <w:sz w:val="24"/>
              <w:szCs w:val="24"/>
              <w:highlight w:val="none"/>
              <w:lang w:val="en-US" w:eastAsia="zh-CN" w:bidi="ar-SA"/>
            </w:rPr>
            <w:instrText xml:space="preserve"> HYPERLINK \l _Toc31164 </w:instrText>
          </w:r>
          <w:r>
            <w:rPr>
              <w:rFonts w:hint="default" w:ascii="Times New Roman" w:hAnsi="Times New Roman" w:eastAsia="宋体" w:cs="Times New Roman"/>
              <w:kern w:val="2"/>
              <w:sz w:val="24"/>
              <w:szCs w:val="24"/>
              <w:highlight w:val="none"/>
              <w:lang w:val="en-US" w:eastAsia="zh-CN" w:bidi="ar-SA"/>
            </w:rPr>
            <w:fldChar w:fldCharType="separate"/>
          </w:r>
          <w:r>
            <w:rPr>
              <w:rFonts w:hint="default" w:ascii="Times New Roman" w:hAnsi="Times New Roman" w:eastAsia="宋体" w:cs="Times New Roman"/>
              <w:sz w:val="24"/>
              <w:szCs w:val="24"/>
              <w:highlight w:val="none"/>
            </w:rPr>
            <w:t>（一）直接原因</w:t>
          </w:r>
          <w:r>
            <w:rPr>
              <w:rFonts w:hint="default" w:ascii="Times New Roman" w:hAnsi="Times New Roman" w:eastAsia="宋体" w:cs="Times New Roman"/>
              <w:sz w:val="24"/>
              <w:szCs w:val="24"/>
              <w:highlight w:val="none"/>
              <w:lang w:val="en-US" w:eastAsia="zh-CN"/>
            </w:rPr>
            <w:t>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_Toc31164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highlight w:val="none"/>
              <w:lang w:val="en-US" w:eastAsia="zh-CN" w:bidi="ar-SA"/>
            </w:rPr>
            <w:fldChar w:fldCharType="end"/>
          </w:r>
        </w:p>
        <w:p w14:paraId="37C05835">
          <w:pPr>
            <w:pStyle w:val="26"/>
            <w:tabs>
              <w:tab w:val="right" w:leader="dot" w:pos="8845"/>
            </w:tabs>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highlight w:val="none"/>
              <w:lang w:val="en-US" w:eastAsia="zh-CN" w:bidi="ar-SA"/>
            </w:rPr>
            <w:fldChar w:fldCharType="begin"/>
          </w:r>
          <w:r>
            <w:rPr>
              <w:rFonts w:hint="default" w:ascii="Times New Roman" w:hAnsi="Times New Roman" w:eastAsia="宋体" w:cs="Times New Roman"/>
              <w:kern w:val="2"/>
              <w:sz w:val="24"/>
              <w:szCs w:val="24"/>
              <w:highlight w:val="none"/>
              <w:lang w:val="en-US" w:eastAsia="zh-CN" w:bidi="ar-SA"/>
            </w:rPr>
            <w:instrText xml:space="preserve"> HYPERLINK \l _Toc7370 </w:instrText>
          </w:r>
          <w:r>
            <w:rPr>
              <w:rFonts w:hint="default" w:ascii="Times New Roman" w:hAnsi="Times New Roman" w:eastAsia="宋体" w:cs="Times New Roman"/>
              <w:kern w:val="2"/>
              <w:sz w:val="24"/>
              <w:szCs w:val="24"/>
              <w:highlight w:val="none"/>
              <w:lang w:val="en-US" w:eastAsia="zh-CN" w:bidi="ar-SA"/>
            </w:rPr>
            <w:fldChar w:fldCharType="separate"/>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二</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其他可能因素排除</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_Toc7370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highlight w:val="none"/>
              <w:lang w:val="en-US" w:eastAsia="zh-CN" w:bidi="ar-SA"/>
            </w:rPr>
            <w:fldChar w:fldCharType="end"/>
          </w:r>
        </w:p>
        <w:p w14:paraId="325A3FA8">
          <w:pPr>
            <w:pStyle w:val="26"/>
            <w:tabs>
              <w:tab w:val="right" w:leader="dot" w:pos="8845"/>
            </w:tabs>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highlight w:val="none"/>
              <w:lang w:val="en-US" w:eastAsia="zh-CN" w:bidi="ar-SA"/>
            </w:rPr>
            <w:fldChar w:fldCharType="begin"/>
          </w:r>
          <w:r>
            <w:rPr>
              <w:rFonts w:hint="default" w:ascii="Times New Roman" w:hAnsi="Times New Roman" w:eastAsia="宋体" w:cs="Times New Roman"/>
              <w:kern w:val="2"/>
              <w:sz w:val="24"/>
              <w:szCs w:val="24"/>
              <w:highlight w:val="none"/>
              <w:lang w:val="en-US" w:eastAsia="zh-CN" w:bidi="ar-SA"/>
            </w:rPr>
            <w:instrText xml:space="preserve"> HYPERLINK \l _Toc11456 </w:instrText>
          </w:r>
          <w:r>
            <w:rPr>
              <w:rFonts w:hint="default" w:ascii="Times New Roman" w:hAnsi="Times New Roman" w:eastAsia="宋体" w:cs="Times New Roman"/>
              <w:kern w:val="2"/>
              <w:sz w:val="24"/>
              <w:szCs w:val="24"/>
              <w:highlight w:val="none"/>
              <w:lang w:val="en-US" w:eastAsia="zh-CN" w:bidi="ar-SA"/>
            </w:rPr>
            <w:fldChar w:fldCharType="separate"/>
          </w: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val="en-US" w:eastAsia="zh-CN"/>
            </w:rPr>
            <w:t>三</w:t>
          </w:r>
          <w:r>
            <w:rPr>
              <w:rFonts w:hint="default" w:ascii="Times New Roman" w:hAnsi="Times New Roman" w:eastAsia="宋体" w:cs="Times New Roman"/>
              <w:sz w:val="24"/>
              <w:szCs w:val="24"/>
              <w:highlight w:val="none"/>
            </w:rPr>
            <w:t>）间接原因</w:t>
          </w:r>
          <w:r>
            <w:rPr>
              <w:rFonts w:hint="default" w:ascii="Times New Roman" w:hAnsi="Times New Roman" w:eastAsia="宋体" w:cs="Times New Roman"/>
              <w:sz w:val="24"/>
              <w:szCs w:val="24"/>
              <w:highlight w:val="none"/>
              <w:lang w:val="en-US" w:eastAsia="zh-CN"/>
            </w:rPr>
            <w:t>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_Toc11456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highlight w:val="none"/>
              <w:lang w:val="en-US" w:eastAsia="zh-CN" w:bidi="ar-SA"/>
            </w:rPr>
            <w:fldChar w:fldCharType="end"/>
          </w:r>
        </w:p>
        <w:p w14:paraId="161A5458">
          <w:pPr>
            <w:pStyle w:val="25"/>
            <w:tabs>
              <w:tab w:val="right" w:leader="dot" w:pos="8845"/>
            </w:tabs>
            <w:rPr>
              <w:rFonts w:hint="default" w:ascii="Times New Roman" w:hAnsi="Times New Roman" w:eastAsia="宋体" w:cs="Times New Roman"/>
              <w:b/>
              <w:sz w:val="24"/>
              <w:szCs w:val="24"/>
            </w:rPr>
          </w:pPr>
          <w:r>
            <w:rPr>
              <w:rFonts w:hint="default" w:ascii="Times New Roman" w:hAnsi="Times New Roman" w:eastAsia="宋体" w:cs="Times New Roman"/>
              <w:b/>
              <w:kern w:val="2"/>
              <w:sz w:val="24"/>
              <w:szCs w:val="24"/>
              <w:highlight w:val="none"/>
              <w:lang w:val="en-US" w:eastAsia="zh-CN" w:bidi="ar-SA"/>
            </w:rPr>
            <w:fldChar w:fldCharType="begin"/>
          </w:r>
          <w:r>
            <w:rPr>
              <w:rFonts w:hint="default" w:ascii="Times New Roman" w:hAnsi="Times New Roman" w:eastAsia="宋体" w:cs="Times New Roman"/>
              <w:b/>
              <w:kern w:val="2"/>
              <w:sz w:val="24"/>
              <w:szCs w:val="24"/>
              <w:highlight w:val="none"/>
              <w:lang w:val="en-US" w:eastAsia="zh-CN" w:bidi="ar-SA"/>
            </w:rPr>
            <w:instrText xml:space="preserve"> HYPERLINK \l _Toc13167 </w:instrText>
          </w:r>
          <w:r>
            <w:rPr>
              <w:rFonts w:hint="default" w:ascii="Times New Roman" w:hAnsi="Times New Roman" w:eastAsia="宋体" w:cs="Times New Roman"/>
              <w:b/>
              <w:kern w:val="2"/>
              <w:sz w:val="24"/>
              <w:szCs w:val="24"/>
              <w:highlight w:val="none"/>
              <w:lang w:val="en-US" w:eastAsia="zh-CN" w:bidi="ar-SA"/>
            </w:rPr>
            <w:fldChar w:fldCharType="separate"/>
          </w:r>
          <w:r>
            <w:rPr>
              <w:rFonts w:hint="default" w:ascii="Times New Roman" w:hAnsi="Times New Roman" w:eastAsia="黑体" w:cs="Times New Roman"/>
              <w:b w:val="0"/>
              <w:bCs/>
              <w:sz w:val="24"/>
              <w:szCs w:val="24"/>
              <w:highlight w:val="none"/>
              <w:lang w:val="en-US" w:eastAsia="zh-CN"/>
            </w:rPr>
            <w:t>四</w:t>
          </w:r>
          <w:r>
            <w:rPr>
              <w:rFonts w:hint="default" w:ascii="Times New Roman" w:hAnsi="Times New Roman" w:eastAsia="黑体" w:cs="Times New Roman"/>
              <w:b w:val="0"/>
              <w:bCs/>
              <w:sz w:val="24"/>
              <w:szCs w:val="24"/>
              <w:highlight w:val="none"/>
              <w:lang w:eastAsia="zh-CN"/>
            </w:rPr>
            <w:t>、对有关责任人员和责任单位的处理建议</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_Toc13167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17</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kern w:val="2"/>
              <w:sz w:val="24"/>
              <w:szCs w:val="24"/>
              <w:highlight w:val="none"/>
              <w:lang w:val="en-US" w:eastAsia="zh-CN" w:bidi="ar-SA"/>
            </w:rPr>
            <w:fldChar w:fldCharType="end"/>
          </w:r>
        </w:p>
        <w:p w14:paraId="209BA9FD">
          <w:pPr>
            <w:pStyle w:val="26"/>
            <w:tabs>
              <w:tab w:val="right" w:leader="dot" w:pos="8845"/>
            </w:tabs>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highlight w:val="none"/>
              <w:lang w:val="en-US" w:eastAsia="zh-CN" w:bidi="ar-SA"/>
            </w:rPr>
            <w:fldChar w:fldCharType="begin"/>
          </w:r>
          <w:r>
            <w:rPr>
              <w:rFonts w:hint="default" w:ascii="Times New Roman" w:hAnsi="Times New Roman" w:eastAsia="宋体" w:cs="Times New Roman"/>
              <w:kern w:val="2"/>
              <w:sz w:val="24"/>
              <w:szCs w:val="24"/>
              <w:highlight w:val="none"/>
              <w:lang w:val="en-US" w:eastAsia="zh-CN" w:bidi="ar-SA"/>
            </w:rPr>
            <w:instrText xml:space="preserve"> HYPERLINK \l _Toc21984 </w:instrText>
          </w:r>
          <w:r>
            <w:rPr>
              <w:rFonts w:hint="default" w:ascii="Times New Roman" w:hAnsi="Times New Roman" w:eastAsia="宋体" w:cs="Times New Roman"/>
              <w:kern w:val="2"/>
              <w:sz w:val="24"/>
              <w:szCs w:val="24"/>
              <w:highlight w:val="none"/>
              <w:lang w:val="en-US" w:eastAsia="zh-CN" w:bidi="ar-SA"/>
            </w:rPr>
            <w:fldChar w:fldCharType="separate"/>
          </w:r>
          <w:r>
            <w:rPr>
              <w:rFonts w:hint="default" w:ascii="Times New Roman" w:hAnsi="Times New Roman" w:eastAsia="宋体" w:cs="Times New Roman"/>
              <w:sz w:val="24"/>
              <w:szCs w:val="24"/>
              <w:highlight w:val="none"/>
              <w:lang w:eastAsia="zh-CN"/>
            </w:rPr>
            <w:t>（一）因在事故中死亡，免予追究责任人员</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_Toc21984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highlight w:val="none"/>
              <w:lang w:val="en-US" w:eastAsia="zh-CN" w:bidi="ar-SA"/>
            </w:rPr>
            <w:fldChar w:fldCharType="end"/>
          </w:r>
        </w:p>
        <w:p w14:paraId="1B6E86FB">
          <w:pPr>
            <w:pStyle w:val="26"/>
            <w:tabs>
              <w:tab w:val="right" w:leader="dot" w:pos="8845"/>
            </w:tabs>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highlight w:val="none"/>
              <w:lang w:val="en-US" w:eastAsia="zh-CN" w:bidi="ar-SA"/>
            </w:rPr>
            <w:fldChar w:fldCharType="begin"/>
          </w:r>
          <w:r>
            <w:rPr>
              <w:rFonts w:hint="default" w:ascii="Times New Roman" w:hAnsi="Times New Roman" w:eastAsia="宋体" w:cs="Times New Roman"/>
              <w:kern w:val="2"/>
              <w:sz w:val="24"/>
              <w:szCs w:val="24"/>
              <w:highlight w:val="none"/>
              <w:lang w:val="en-US" w:eastAsia="zh-CN" w:bidi="ar-SA"/>
            </w:rPr>
            <w:instrText xml:space="preserve"> HYPERLINK \l _Toc31876 </w:instrText>
          </w:r>
          <w:r>
            <w:rPr>
              <w:rFonts w:hint="default" w:ascii="Times New Roman" w:hAnsi="Times New Roman" w:eastAsia="宋体" w:cs="Times New Roman"/>
              <w:kern w:val="2"/>
              <w:sz w:val="24"/>
              <w:szCs w:val="24"/>
              <w:highlight w:val="none"/>
              <w:lang w:val="en-US" w:eastAsia="zh-CN" w:bidi="ar-SA"/>
            </w:rPr>
            <w:fldChar w:fldCharType="separate"/>
          </w:r>
          <w:r>
            <w:rPr>
              <w:rFonts w:hint="default" w:ascii="Times New Roman" w:hAnsi="Times New Roman" w:eastAsia="宋体" w:cs="Times New Roman"/>
              <w:sz w:val="24"/>
              <w:szCs w:val="24"/>
              <w:highlight w:val="none"/>
              <w:lang w:val="en-US" w:eastAsia="zh-CN"/>
            </w:rPr>
            <w:t>（二）建议移送司法机关处理的人员</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_Toc31876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highlight w:val="none"/>
              <w:lang w:val="en-US" w:eastAsia="zh-CN" w:bidi="ar-SA"/>
            </w:rPr>
            <w:fldChar w:fldCharType="end"/>
          </w:r>
        </w:p>
        <w:p w14:paraId="10B0C954">
          <w:pPr>
            <w:pStyle w:val="26"/>
            <w:tabs>
              <w:tab w:val="right" w:leader="dot" w:pos="8845"/>
            </w:tabs>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highlight w:val="none"/>
              <w:lang w:val="en-US" w:eastAsia="zh-CN" w:bidi="ar-SA"/>
            </w:rPr>
            <w:fldChar w:fldCharType="begin"/>
          </w:r>
          <w:r>
            <w:rPr>
              <w:rFonts w:hint="default" w:ascii="Times New Roman" w:hAnsi="Times New Roman" w:eastAsia="宋体" w:cs="Times New Roman"/>
              <w:kern w:val="2"/>
              <w:sz w:val="24"/>
              <w:szCs w:val="24"/>
              <w:highlight w:val="none"/>
              <w:lang w:val="en-US" w:eastAsia="zh-CN" w:bidi="ar-SA"/>
            </w:rPr>
            <w:instrText xml:space="preserve"> HYPERLINK \l _Toc2657 </w:instrText>
          </w:r>
          <w:r>
            <w:rPr>
              <w:rFonts w:hint="default" w:ascii="Times New Roman" w:hAnsi="Times New Roman" w:eastAsia="宋体" w:cs="Times New Roman"/>
              <w:kern w:val="2"/>
              <w:sz w:val="24"/>
              <w:szCs w:val="24"/>
              <w:highlight w:val="none"/>
              <w:lang w:val="en-US" w:eastAsia="zh-CN" w:bidi="ar-SA"/>
            </w:rPr>
            <w:fldChar w:fldCharType="separate"/>
          </w:r>
          <w:r>
            <w:rPr>
              <w:rFonts w:hint="default" w:ascii="Times New Roman" w:hAnsi="Times New Roman" w:eastAsia="宋体" w:cs="Times New Roman"/>
              <w:sz w:val="24"/>
              <w:szCs w:val="24"/>
              <w:highlight w:val="none"/>
              <w:lang w:val="en-US" w:eastAsia="zh-CN"/>
            </w:rPr>
            <w:t>（三）对有关</w:t>
          </w:r>
          <w:r>
            <w:rPr>
              <w:rFonts w:hint="default" w:ascii="Times New Roman" w:hAnsi="Times New Roman" w:eastAsia="宋体" w:cs="Times New Roman"/>
              <w:sz w:val="24"/>
              <w:szCs w:val="24"/>
              <w:highlight w:val="none"/>
              <w:lang w:eastAsia="zh-CN"/>
            </w:rPr>
            <w:t>公职人员</w:t>
          </w:r>
          <w:r>
            <w:rPr>
              <w:rFonts w:hint="default" w:ascii="Times New Roman" w:hAnsi="Times New Roman" w:eastAsia="宋体" w:cs="Times New Roman"/>
              <w:sz w:val="24"/>
              <w:szCs w:val="24"/>
              <w:highlight w:val="none"/>
              <w:lang w:val="en-US" w:eastAsia="zh-CN"/>
            </w:rPr>
            <w:t>的处理建议</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_Toc2657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highlight w:val="none"/>
              <w:lang w:val="en-US" w:eastAsia="zh-CN" w:bidi="ar-SA"/>
            </w:rPr>
            <w:fldChar w:fldCharType="end"/>
          </w:r>
        </w:p>
        <w:p w14:paraId="01DCCD58">
          <w:pPr>
            <w:pStyle w:val="26"/>
            <w:tabs>
              <w:tab w:val="right" w:leader="dot" w:pos="8845"/>
            </w:tabs>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highlight w:val="none"/>
              <w:lang w:val="en-US" w:eastAsia="zh-CN" w:bidi="ar-SA"/>
            </w:rPr>
            <w:fldChar w:fldCharType="begin"/>
          </w:r>
          <w:r>
            <w:rPr>
              <w:rFonts w:hint="default" w:ascii="Times New Roman" w:hAnsi="Times New Roman" w:eastAsia="宋体" w:cs="Times New Roman"/>
              <w:kern w:val="2"/>
              <w:sz w:val="24"/>
              <w:szCs w:val="24"/>
              <w:highlight w:val="none"/>
              <w:lang w:val="en-US" w:eastAsia="zh-CN" w:bidi="ar-SA"/>
            </w:rPr>
            <w:instrText xml:space="preserve"> HYPERLINK \l _Toc6235 </w:instrText>
          </w:r>
          <w:r>
            <w:rPr>
              <w:rFonts w:hint="default" w:ascii="Times New Roman" w:hAnsi="Times New Roman" w:eastAsia="宋体" w:cs="Times New Roman"/>
              <w:kern w:val="2"/>
              <w:sz w:val="24"/>
              <w:szCs w:val="24"/>
              <w:highlight w:val="none"/>
              <w:lang w:val="en-US" w:eastAsia="zh-CN" w:bidi="ar-SA"/>
            </w:rPr>
            <w:fldChar w:fldCharType="separate"/>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四</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对事故有关责任单位和责任人员的处理建议</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_Toc6235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highlight w:val="none"/>
              <w:lang w:val="en-US" w:eastAsia="zh-CN" w:bidi="ar-SA"/>
            </w:rPr>
            <w:fldChar w:fldCharType="end"/>
          </w:r>
        </w:p>
        <w:p w14:paraId="3051E9C0">
          <w:pPr>
            <w:pStyle w:val="26"/>
            <w:tabs>
              <w:tab w:val="right" w:leader="dot" w:pos="8845"/>
            </w:tabs>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highlight w:val="none"/>
              <w:lang w:val="en-US" w:eastAsia="zh-CN" w:bidi="ar-SA"/>
            </w:rPr>
            <w:fldChar w:fldCharType="begin"/>
          </w:r>
          <w:r>
            <w:rPr>
              <w:rFonts w:hint="default" w:ascii="Times New Roman" w:hAnsi="Times New Roman" w:eastAsia="宋体" w:cs="Times New Roman"/>
              <w:kern w:val="2"/>
              <w:sz w:val="24"/>
              <w:szCs w:val="24"/>
              <w:highlight w:val="none"/>
              <w:lang w:val="en-US" w:eastAsia="zh-CN" w:bidi="ar-SA"/>
            </w:rPr>
            <w:instrText xml:space="preserve"> HYPERLINK \l _Toc20714 </w:instrText>
          </w:r>
          <w:r>
            <w:rPr>
              <w:rFonts w:hint="default" w:ascii="Times New Roman" w:hAnsi="Times New Roman" w:eastAsia="宋体" w:cs="Times New Roman"/>
              <w:kern w:val="2"/>
              <w:sz w:val="24"/>
              <w:szCs w:val="24"/>
              <w:highlight w:val="none"/>
              <w:lang w:val="en-US" w:eastAsia="zh-CN" w:bidi="ar-SA"/>
            </w:rPr>
            <w:fldChar w:fldCharType="separate"/>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五</w:t>
          </w:r>
          <w:r>
            <w:rPr>
              <w:rFonts w:hint="default" w:ascii="Times New Roman" w:hAnsi="Times New Roman" w:eastAsia="宋体" w:cs="Times New Roman"/>
              <w:sz w:val="24"/>
              <w:szCs w:val="24"/>
              <w:highlight w:val="none"/>
              <w:lang w:eastAsia="zh-CN"/>
            </w:rPr>
            <w:t>）其他</w:t>
          </w:r>
          <w:r>
            <w:rPr>
              <w:rFonts w:hint="default" w:ascii="Times New Roman" w:hAnsi="Times New Roman" w:eastAsia="宋体" w:cs="Times New Roman"/>
              <w:sz w:val="24"/>
              <w:szCs w:val="24"/>
              <w:highlight w:val="none"/>
              <w:lang w:val="en-US" w:eastAsia="zh-CN"/>
            </w:rPr>
            <w:t>处理建议</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_Toc20714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highlight w:val="none"/>
              <w:lang w:val="en-US" w:eastAsia="zh-CN" w:bidi="ar-SA"/>
            </w:rPr>
            <w:fldChar w:fldCharType="end"/>
          </w:r>
        </w:p>
        <w:p w14:paraId="218F664A">
          <w:pPr>
            <w:pStyle w:val="25"/>
            <w:tabs>
              <w:tab w:val="right" w:leader="dot" w:pos="8845"/>
            </w:tabs>
            <w:rPr>
              <w:rFonts w:hint="default" w:ascii="Times New Roman" w:hAnsi="Times New Roman" w:eastAsia="宋体" w:cs="Times New Roman"/>
              <w:b/>
              <w:sz w:val="24"/>
              <w:szCs w:val="24"/>
            </w:rPr>
          </w:pPr>
          <w:r>
            <w:rPr>
              <w:rFonts w:hint="default" w:ascii="Times New Roman" w:hAnsi="Times New Roman" w:eastAsia="宋体" w:cs="Times New Roman"/>
              <w:b/>
              <w:kern w:val="2"/>
              <w:sz w:val="24"/>
              <w:szCs w:val="24"/>
              <w:highlight w:val="none"/>
              <w:lang w:val="en-US" w:eastAsia="zh-CN" w:bidi="ar-SA"/>
            </w:rPr>
            <w:fldChar w:fldCharType="begin"/>
          </w:r>
          <w:r>
            <w:rPr>
              <w:rFonts w:hint="default" w:ascii="Times New Roman" w:hAnsi="Times New Roman" w:eastAsia="宋体" w:cs="Times New Roman"/>
              <w:b/>
              <w:kern w:val="2"/>
              <w:sz w:val="24"/>
              <w:szCs w:val="24"/>
              <w:highlight w:val="none"/>
              <w:lang w:val="en-US" w:eastAsia="zh-CN" w:bidi="ar-SA"/>
            </w:rPr>
            <w:instrText xml:space="preserve"> HYPERLINK \l _Toc9266 </w:instrText>
          </w:r>
          <w:r>
            <w:rPr>
              <w:rFonts w:hint="default" w:ascii="Times New Roman" w:hAnsi="Times New Roman" w:eastAsia="宋体" w:cs="Times New Roman"/>
              <w:b/>
              <w:kern w:val="2"/>
              <w:sz w:val="24"/>
              <w:szCs w:val="24"/>
              <w:highlight w:val="none"/>
              <w:lang w:val="en-US" w:eastAsia="zh-CN" w:bidi="ar-SA"/>
            </w:rPr>
            <w:fldChar w:fldCharType="separate"/>
          </w:r>
          <w:r>
            <w:rPr>
              <w:rFonts w:hint="default" w:ascii="Times New Roman" w:hAnsi="Times New Roman" w:eastAsia="黑体" w:cs="Times New Roman"/>
              <w:b w:val="0"/>
              <w:bCs/>
              <w:sz w:val="24"/>
              <w:szCs w:val="24"/>
              <w:highlight w:val="none"/>
              <w:lang w:val="en-US" w:eastAsia="zh-CN"/>
            </w:rPr>
            <w:t>五、事故主要教训</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_Toc9266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21</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kern w:val="2"/>
              <w:sz w:val="24"/>
              <w:szCs w:val="24"/>
              <w:highlight w:val="none"/>
              <w:lang w:val="en-US" w:eastAsia="zh-CN" w:bidi="ar-SA"/>
            </w:rPr>
            <w:fldChar w:fldCharType="end"/>
          </w:r>
        </w:p>
        <w:p w14:paraId="7D013B8F">
          <w:pPr>
            <w:pStyle w:val="26"/>
            <w:tabs>
              <w:tab w:val="right" w:leader="dot" w:pos="8845"/>
            </w:tabs>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highlight w:val="none"/>
              <w:lang w:val="en-US" w:eastAsia="zh-CN" w:bidi="ar-SA"/>
            </w:rPr>
            <w:fldChar w:fldCharType="begin"/>
          </w:r>
          <w:r>
            <w:rPr>
              <w:rFonts w:hint="default" w:ascii="Times New Roman" w:hAnsi="Times New Roman" w:eastAsia="宋体" w:cs="Times New Roman"/>
              <w:kern w:val="2"/>
              <w:sz w:val="24"/>
              <w:szCs w:val="24"/>
              <w:highlight w:val="none"/>
              <w:lang w:val="en-US" w:eastAsia="zh-CN" w:bidi="ar-SA"/>
            </w:rPr>
            <w:instrText xml:space="preserve"> HYPERLINK \l _Toc1580 </w:instrText>
          </w:r>
          <w:r>
            <w:rPr>
              <w:rFonts w:hint="default" w:ascii="Times New Roman" w:hAnsi="Times New Roman" w:eastAsia="宋体" w:cs="Times New Roman"/>
              <w:kern w:val="2"/>
              <w:sz w:val="24"/>
              <w:szCs w:val="24"/>
              <w:highlight w:val="none"/>
              <w:lang w:val="en-US" w:eastAsia="zh-CN" w:bidi="ar-SA"/>
            </w:rPr>
            <w:fldChar w:fldCharType="separate"/>
          </w:r>
          <w:r>
            <w:rPr>
              <w:rFonts w:hint="default" w:ascii="Times New Roman" w:hAnsi="Times New Roman" w:eastAsia="宋体" w:cs="Times New Roman"/>
              <w:sz w:val="24"/>
              <w:szCs w:val="24"/>
              <w:highlight w:val="none"/>
              <w:lang w:val="en-US" w:eastAsia="zh-CN"/>
            </w:rPr>
            <w:t>（一）贯彻安全发展理念不牢固</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_Toc1580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highlight w:val="none"/>
              <w:lang w:val="en-US" w:eastAsia="zh-CN" w:bidi="ar-SA"/>
            </w:rPr>
            <w:fldChar w:fldCharType="end"/>
          </w:r>
        </w:p>
        <w:p w14:paraId="33ADD3D1">
          <w:pPr>
            <w:pStyle w:val="26"/>
            <w:tabs>
              <w:tab w:val="right" w:leader="dot" w:pos="8845"/>
            </w:tabs>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highlight w:val="none"/>
              <w:lang w:val="en-US" w:eastAsia="zh-CN" w:bidi="ar-SA"/>
            </w:rPr>
            <w:fldChar w:fldCharType="begin"/>
          </w:r>
          <w:r>
            <w:rPr>
              <w:rFonts w:hint="default" w:ascii="Times New Roman" w:hAnsi="Times New Roman" w:eastAsia="宋体" w:cs="Times New Roman"/>
              <w:kern w:val="2"/>
              <w:sz w:val="24"/>
              <w:szCs w:val="24"/>
              <w:highlight w:val="none"/>
              <w:lang w:val="en-US" w:eastAsia="zh-CN" w:bidi="ar-SA"/>
            </w:rPr>
            <w:instrText xml:space="preserve"> HYPERLINK \l _Toc1580 </w:instrText>
          </w:r>
          <w:r>
            <w:rPr>
              <w:rFonts w:hint="default" w:ascii="Times New Roman" w:hAnsi="Times New Roman" w:eastAsia="宋体" w:cs="Times New Roman"/>
              <w:kern w:val="2"/>
              <w:sz w:val="24"/>
              <w:szCs w:val="24"/>
              <w:highlight w:val="none"/>
              <w:lang w:val="en-US" w:eastAsia="zh-CN" w:bidi="ar-SA"/>
            </w:rPr>
            <w:fldChar w:fldCharType="separate"/>
          </w:r>
          <w:r>
            <w:rPr>
              <w:rFonts w:hint="default" w:ascii="Times New Roman" w:hAnsi="Times New Roman" w:eastAsia="宋体" w:cs="Times New Roman"/>
              <w:sz w:val="24"/>
              <w:szCs w:val="24"/>
              <w:highlight w:val="none"/>
              <w:lang w:val="en-US" w:eastAsia="zh-CN"/>
            </w:rPr>
            <w:t>（二）企业安全生产主体责任落实不到位</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_Toc1580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highlight w:val="none"/>
              <w:lang w:val="en-US" w:eastAsia="zh-CN" w:bidi="ar-SA"/>
            </w:rPr>
            <w:fldChar w:fldCharType="end"/>
          </w:r>
        </w:p>
        <w:p w14:paraId="26EBC9D9">
          <w:pPr>
            <w:pStyle w:val="26"/>
            <w:tabs>
              <w:tab w:val="right" w:leader="dot" w:pos="8845"/>
            </w:tabs>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highlight w:val="none"/>
              <w:lang w:val="en-US" w:eastAsia="zh-CN" w:bidi="ar-SA"/>
            </w:rPr>
            <w:fldChar w:fldCharType="begin"/>
          </w:r>
          <w:r>
            <w:rPr>
              <w:rFonts w:hint="default" w:ascii="Times New Roman" w:hAnsi="Times New Roman" w:eastAsia="宋体" w:cs="Times New Roman"/>
              <w:kern w:val="2"/>
              <w:sz w:val="24"/>
              <w:szCs w:val="24"/>
              <w:highlight w:val="none"/>
              <w:lang w:val="en-US" w:eastAsia="zh-CN" w:bidi="ar-SA"/>
            </w:rPr>
            <w:instrText xml:space="preserve"> HYPERLINK \l _Toc1580 </w:instrText>
          </w:r>
          <w:r>
            <w:rPr>
              <w:rFonts w:hint="default" w:ascii="Times New Roman" w:hAnsi="Times New Roman" w:eastAsia="宋体" w:cs="Times New Roman"/>
              <w:kern w:val="2"/>
              <w:sz w:val="24"/>
              <w:szCs w:val="24"/>
              <w:highlight w:val="none"/>
              <w:lang w:val="en-US" w:eastAsia="zh-CN" w:bidi="ar-SA"/>
            </w:rPr>
            <w:fldChar w:fldCharType="separate"/>
          </w:r>
          <w:r>
            <w:rPr>
              <w:rFonts w:hint="default" w:ascii="Times New Roman" w:hAnsi="Times New Roman" w:eastAsia="宋体" w:cs="Times New Roman"/>
              <w:sz w:val="24"/>
              <w:szCs w:val="24"/>
              <w:highlight w:val="none"/>
              <w:lang w:val="en-US" w:eastAsia="zh-CN"/>
            </w:rPr>
            <w:t>（三）作业现场安全管理缺失</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_Toc1580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highlight w:val="none"/>
              <w:lang w:val="en-US" w:eastAsia="zh-CN" w:bidi="ar-SA"/>
            </w:rPr>
            <w:fldChar w:fldCharType="end"/>
          </w:r>
        </w:p>
        <w:p w14:paraId="05A7A7AC">
          <w:pPr>
            <w:pStyle w:val="26"/>
            <w:tabs>
              <w:tab w:val="right" w:leader="dot" w:pos="8845"/>
            </w:tabs>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highlight w:val="none"/>
              <w:lang w:val="en-US" w:eastAsia="zh-CN" w:bidi="ar-SA"/>
            </w:rPr>
            <w:fldChar w:fldCharType="begin"/>
          </w:r>
          <w:r>
            <w:rPr>
              <w:rFonts w:hint="default" w:ascii="Times New Roman" w:hAnsi="Times New Roman" w:eastAsia="宋体" w:cs="Times New Roman"/>
              <w:kern w:val="2"/>
              <w:sz w:val="24"/>
              <w:szCs w:val="24"/>
              <w:highlight w:val="none"/>
              <w:lang w:val="en-US" w:eastAsia="zh-CN" w:bidi="ar-SA"/>
            </w:rPr>
            <w:instrText xml:space="preserve"> HYPERLINK \l _Toc1580 </w:instrText>
          </w:r>
          <w:r>
            <w:rPr>
              <w:rFonts w:hint="default" w:ascii="Times New Roman" w:hAnsi="Times New Roman" w:eastAsia="宋体" w:cs="Times New Roman"/>
              <w:kern w:val="2"/>
              <w:sz w:val="24"/>
              <w:szCs w:val="24"/>
              <w:highlight w:val="none"/>
              <w:lang w:val="en-US" w:eastAsia="zh-CN" w:bidi="ar-SA"/>
            </w:rPr>
            <w:fldChar w:fldCharType="separate"/>
          </w:r>
          <w:r>
            <w:rPr>
              <w:rFonts w:hint="default" w:ascii="Times New Roman" w:hAnsi="Times New Roman" w:eastAsia="宋体" w:cs="Times New Roman"/>
              <w:sz w:val="24"/>
              <w:szCs w:val="24"/>
              <w:highlight w:val="none"/>
              <w:lang w:val="en-US" w:eastAsia="zh-CN"/>
            </w:rPr>
            <w:t>（四）从业人员培训教育不到位</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_Toc1580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highlight w:val="none"/>
              <w:lang w:val="en-US" w:eastAsia="zh-CN" w:bidi="ar-SA"/>
            </w:rPr>
            <w:fldChar w:fldCharType="end"/>
          </w:r>
        </w:p>
        <w:p w14:paraId="35DF1AD5">
          <w:pPr>
            <w:pStyle w:val="25"/>
            <w:tabs>
              <w:tab w:val="right" w:leader="dot" w:pos="8845"/>
            </w:tabs>
            <w:rPr>
              <w:rFonts w:hint="default" w:ascii="Times New Roman" w:hAnsi="Times New Roman" w:eastAsia="宋体" w:cs="Times New Roman"/>
              <w:b/>
              <w:sz w:val="24"/>
              <w:szCs w:val="24"/>
            </w:rPr>
          </w:pPr>
          <w:r>
            <w:rPr>
              <w:rFonts w:hint="default" w:ascii="Times New Roman" w:hAnsi="Times New Roman" w:eastAsia="宋体" w:cs="Times New Roman"/>
              <w:b/>
              <w:kern w:val="2"/>
              <w:sz w:val="24"/>
              <w:szCs w:val="24"/>
              <w:highlight w:val="none"/>
              <w:lang w:val="en-US" w:eastAsia="zh-CN" w:bidi="ar-SA"/>
            </w:rPr>
            <w:fldChar w:fldCharType="begin"/>
          </w:r>
          <w:r>
            <w:rPr>
              <w:rFonts w:hint="default" w:ascii="Times New Roman" w:hAnsi="Times New Roman" w:eastAsia="宋体" w:cs="Times New Roman"/>
              <w:b/>
              <w:kern w:val="2"/>
              <w:sz w:val="24"/>
              <w:szCs w:val="24"/>
              <w:highlight w:val="none"/>
              <w:lang w:val="en-US" w:eastAsia="zh-CN" w:bidi="ar-SA"/>
            </w:rPr>
            <w:instrText xml:space="preserve"> HYPERLINK \l _Toc5308 </w:instrText>
          </w:r>
          <w:r>
            <w:rPr>
              <w:rFonts w:hint="default" w:ascii="Times New Roman" w:hAnsi="Times New Roman" w:eastAsia="宋体" w:cs="Times New Roman"/>
              <w:b/>
              <w:kern w:val="2"/>
              <w:sz w:val="24"/>
              <w:szCs w:val="24"/>
              <w:highlight w:val="none"/>
              <w:lang w:val="en-US" w:eastAsia="zh-CN" w:bidi="ar-SA"/>
            </w:rPr>
            <w:fldChar w:fldCharType="separate"/>
          </w:r>
          <w:r>
            <w:rPr>
              <w:rFonts w:hint="default" w:ascii="Times New Roman" w:hAnsi="Times New Roman" w:eastAsia="黑体" w:cs="Times New Roman"/>
              <w:b w:val="0"/>
              <w:bCs/>
              <w:sz w:val="24"/>
              <w:szCs w:val="24"/>
              <w:highlight w:val="none"/>
              <w:lang w:val="en-US" w:eastAsia="zh-CN"/>
            </w:rPr>
            <w:t>六、事故防范和整改措施</w:t>
          </w:r>
          <w:r>
            <w:rPr>
              <w:rFonts w:hint="default" w:ascii="Times New Roman" w:hAnsi="Times New Roman" w:eastAsia="宋体" w:cs="Times New Roman"/>
              <w:b w:val="0"/>
              <w:bCs/>
              <w:sz w:val="24"/>
              <w:szCs w:val="24"/>
            </w:rPr>
            <w:tab/>
          </w:r>
          <w:r>
            <w:rPr>
              <w:rFonts w:hint="default" w:ascii="Times New Roman" w:hAnsi="Times New Roman" w:eastAsia="宋体" w:cs="Times New Roman"/>
              <w:b w:val="0"/>
              <w:bCs/>
              <w:sz w:val="24"/>
              <w:szCs w:val="24"/>
            </w:rPr>
            <w:fldChar w:fldCharType="begin"/>
          </w:r>
          <w:r>
            <w:rPr>
              <w:rFonts w:hint="default" w:ascii="Times New Roman" w:hAnsi="Times New Roman" w:eastAsia="宋体" w:cs="Times New Roman"/>
              <w:b w:val="0"/>
              <w:bCs/>
              <w:sz w:val="24"/>
              <w:szCs w:val="24"/>
            </w:rPr>
            <w:instrText xml:space="preserve"> PAGEREF _Toc5308 \h </w:instrText>
          </w:r>
          <w:r>
            <w:rPr>
              <w:rFonts w:hint="default" w:ascii="Times New Roman" w:hAnsi="Times New Roman" w:eastAsia="宋体" w:cs="Times New Roman"/>
              <w:b w:val="0"/>
              <w:bCs/>
              <w:sz w:val="24"/>
              <w:szCs w:val="24"/>
            </w:rPr>
            <w:fldChar w:fldCharType="separate"/>
          </w:r>
          <w:r>
            <w:rPr>
              <w:rFonts w:hint="default" w:ascii="Times New Roman" w:hAnsi="Times New Roman" w:eastAsia="宋体" w:cs="Times New Roman"/>
              <w:b w:val="0"/>
              <w:bCs/>
              <w:sz w:val="24"/>
              <w:szCs w:val="24"/>
            </w:rPr>
            <w:t>22</w:t>
          </w:r>
          <w:r>
            <w:rPr>
              <w:rFonts w:hint="default" w:ascii="Times New Roman" w:hAnsi="Times New Roman" w:eastAsia="宋体" w:cs="Times New Roman"/>
              <w:b w:val="0"/>
              <w:bCs/>
              <w:sz w:val="24"/>
              <w:szCs w:val="24"/>
            </w:rPr>
            <w:fldChar w:fldCharType="end"/>
          </w:r>
          <w:r>
            <w:rPr>
              <w:rFonts w:hint="default" w:ascii="Times New Roman" w:hAnsi="Times New Roman" w:eastAsia="宋体" w:cs="Times New Roman"/>
              <w:b/>
              <w:kern w:val="2"/>
              <w:sz w:val="24"/>
              <w:szCs w:val="24"/>
              <w:highlight w:val="none"/>
              <w:lang w:val="en-US" w:eastAsia="zh-CN" w:bidi="ar-SA"/>
            </w:rPr>
            <w:fldChar w:fldCharType="end"/>
          </w:r>
        </w:p>
        <w:p w14:paraId="44064832">
          <w:pPr>
            <w:pStyle w:val="26"/>
            <w:tabs>
              <w:tab w:val="right" w:leader="dot" w:pos="8845"/>
            </w:tabs>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highlight w:val="none"/>
              <w:lang w:val="en-US" w:eastAsia="zh-CN" w:bidi="ar-SA"/>
            </w:rPr>
            <w:fldChar w:fldCharType="begin"/>
          </w:r>
          <w:r>
            <w:rPr>
              <w:rFonts w:hint="default" w:ascii="Times New Roman" w:hAnsi="Times New Roman" w:eastAsia="宋体" w:cs="Times New Roman"/>
              <w:kern w:val="2"/>
              <w:sz w:val="24"/>
              <w:szCs w:val="24"/>
              <w:highlight w:val="none"/>
              <w:lang w:val="en-US" w:eastAsia="zh-CN" w:bidi="ar-SA"/>
            </w:rPr>
            <w:instrText xml:space="preserve"> HYPERLINK \l _Toc13255 </w:instrText>
          </w:r>
          <w:r>
            <w:rPr>
              <w:rFonts w:hint="default" w:ascii="Times New Roman" w:hAnsi="Times New Roman" w:eastAsia="宋体" w:cs="Times New Roman"/>
              <w:kern w:val="2"/>
              <w:sz w:val="24"/>
              <w:szCs w:val="24"/>
              <w:highlight w:val="none"/>
              <w:lang w:val="en-US" w:eastAsia="zh-CN" w:bidi="ar-SA"/>
            </w:rPr>
            <w:fldChar w:fldCharType="separate"/>
          </w:r>
          <w:r>
            <w:rPr>
              <w:rFonts w:hint="default" w:ascii="Times New Roman" w:hAnsi="Times New Roman" w:eastAsia="宋体" w:cs="Times New Roman"/>
              <w:sz w:val="24"/>
              <w:szCs w:val="24"/>
              <w:highlight w:val="none"/>
              <w:lang w:val="en-US" w:eastAsia="zh-CN"/>
            </w:rPr>
            <w:t>（一）进一步强化安全发展理念，加强底线思维</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_Toc13255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highlight w:val="none"/>
              <w:lang w:val="en-US" w:eastAsia="zh-CN" w:bidi="ar-SA"/>
            </w:rPr>
            <w:fldChar w:fldCharType="end"/>
          </w:r>
        </w:p>
        <w:p w14:paraId="0293B292">
          <w:pPr>
            <w:pStyle w:val="26"/>
            <w:tabs>
              <w:tab w:val="right" w:leader="dot" w:pos="8845"/>
            </w:tabs>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highlight w:val="none"/>
              <w:lang w:val="en-US" w:eastAsia="zh-CN" w:bidi="ar-SA"/>
            </w:rPr>
            <w:fldChar w:fldCharType="begin"/>
          </w:r>
          <w:r>
            <w:rPr>
              <w:rFonts w:hint="default" w:ascii="Times New Roman" w:hAnsi="Times New Roman" w:eastAsia="宋体" w:cs="Times New Roman"/>
              <w:kern w:val="2"/>
              <w:sz w:val="24"/>
              <w:szCs w:val="24"/>
              <w:highlight w:val="none"/>
              <w:lang w:val="en-US" w:eastAsia="zh-CN" w:bidi="ar-SA"/>
            </w:rPr>
            <w:instrText xml:space="preserve"> HYPERLINK \l _Toc32227 </w:instrText>
          </w:r>
          <w:r>
            <w:rPr>
              <w:rFonts w:hint="default" w:ascii="Times New Roman" w:hAnsi="Times New Roman" w:eastAsia="宋体" w:cs="Times New Roman"/>
              <w:kern w:val="2"/>
              <w:sz w:val="24"/>
              <w:szCs w:val="24"/>
              <w:highlight w:val="none"/>
              <w:lang w:val="en-US" w:eastAsia="zh-CN" w:bidi="ar-SA"/>
            </w:rPr>
            <w:fldChar w:fldCharType="separate"/>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二</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进一步加强安全培训教育，提高风险意识</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_Toc32227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highlight w:val="none"/>
              <w:lang w:val="en-US" w:eastAsia="zh-CN" w:bidi="ar-SA"/>
            </w:rPr>
            <w:fldChar w:fldCharType="end"/>
          </w:r>
        </w:p>
        <w:p w14:paraId="3E7B1E39">
          <w:pPr>
            <w:pStyle w:val="26"/>
            <w:tabs>
              <w:tab w:val="right" w:leader="dot" w:pos="8845"/>
            </w:tabs>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highlight w:val="none"/>
              <w:lang w:val="en-US" w:eastAsia="zh-CN" w:bidi="ar-SA"/>
            </w:rPr>
            <w:fldChar w:fldCharType="begin"/>
          </w:r>
          <w:r>
            <w:rPr>
              <w:rFonts w:hint="default" w:ascii="Times New Roman" w:hAnsi="Times New Roman" w:eastAsia="宋体" w:cs="Times New Roman"/>
              <w:kern w:val="2"/>
              <w:sz w:val="24"/>
              <w:szCs w:val="24"/>
              <w:highlight w:val="none"/>
              <w:lang w:val="en-US" w:eastAsia="zh-CN" w:bidi="ar-SA"/>
            </w:rPr>
            <w:instrText xml:space="preserve"> HYPERLINK \l _Toc21379 </w:instrText>
          </w:r>
          <w:r>
            <w:rPr>
              <w:rFonts w:hint="default" w:ascii="Times New Roman" w:hAnsi="Times New Roman" w:eastAsia="宋体" w:cs="Times New Roman"/>
              <w:kern w:val="2"/>
              <w:sz w:val="24"/>
              <w:szCs w:val="24"/>
              <w:highlight w:val="none"/>
              <w:lang w:val="en-US" w:eastAsia="zh-CN" w:bidi="ar-SA"/>
            </w:rPr>
            <w:fldChar w:fldCharType="separate"/>
          </w:r>
          <w:r>
            <w:rPr>
              <w:rFonts w:hint="default" w:ascii="Times New Roman" w:hAnsi="Times New Roman" w:eastAsia="宋体" w:cs="Times New Roman"/>
              <w:sz w:val="24"/>
              <w:szCs w:val="24"/>
              <w:highlight w:val="none"/>
              <w:lang w:val="en-US" w:eastAsia="zh-CN"/>
            </w:rPr>
            <w:t>（三）进一步完善作业检查标准，强化责任意识</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_Toc21379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highlight w:val="none"/>
              <w:lang w:val="en-US" w:eastAsia="zh-CN" w:bidi="ar-SA"/>
            </w:rPr>
            <w:fldChar w:fldCharType="end"/>
          </w:r>
        </w:p>
        <w:p w14:paraId="62473708">
          <w:pPr>
            <w:pStyle w:val="26"/>
            <w:tabs>
              <w:tab w:val="right" w:leader="dot" w:pos="8845"/>
            </w:tabs>
            <w:rPr>
              <w:rFonts w:hint="default" w:ascii="Times New Roman" w:hAnsi="Times New Roman" w:eastAsia="宋体" w:cs="Times New Roman"/>
              <w:sz w:val="24"/>
              <w:szCs w:val="24"/>
            </w:rPr>
          </w:pPr>
          <w:r>
            <w:rPr>
              <w:rFonts w:hint="default" w:ascii="Times New Roman" w:hAnsi="Times New Roman" w:eastAsia="宋体" w:cs="Times New Roman"/>
              <w:kern w:val="2"/>
              <w:sz w:val="24"/>
              <w:szCs w:val="24"/>
              <w:highlight w:val="none"/>
              <w:lang w:val="en-US" w:eastAsia="zh-CN" w:bidi="ar-SA"/>
            </w:rPr>
            <w:fldChar w:fldCharType="begin"/>
          </w:r>
          <w:r>
            <w:rPr>
              <w:rFonts w:hint="default" w:ascii="Times New Roman" w:hAnsi="Times New Roman" w:eastAsia="宋体" w:cs="Times New Roman"/>
              <w:kern w:val="2"/>
              <w:sz w:val="24"/>
              <w:szCs w:val="24"/>
              <w:highlight w:val="none"/>
              <w:lang w:val="en-US" w:eastAsia="zh-CN" w:bidi="ar-SA"/>
            </w:rPr>
            <w:instrText xml:space="preserve"> HYPERLINK \l _Toc31160 </w:instrText>
          </w:r>
          <w:r>
            <w:rPr>
              <w:rFonts w:hint="default" w:ascii="Times New Roman" w:hAnsi="Times New Roman" w:eastAsia="宋体" w:cs="Times New Roman"/>
              <w:kern w:val="2"/>
              <w:sz w:val="24"/>
              <w:szCs w:val="24"/>
              <w:highlight w:val="none"/>
              <w:lang w:val="en-US" w:eastAsia="zh-CN" w:bidi="ar-SA"/>
            </w:rPr>
            <w:fldChar w:fldCharType="separate"/>
          </w:r>
          <w:r>
            <w:rPr>
              <w:rFonts w:hint="default" w:ascii="Times New Roman" w:hAnsi="Times New Roman" w:eastAsia="宋体" w:cs="Times New Roman"/>
              <w:sz w:val="24"/>
              <w:szCs w:val="24"/>
              <w:highlight w:val="none"/>
              <w:lang w:val="en-US" w:eastAsia="zh-CN"/>
            </w:rPr>
            <w:t>（四）进一步做好安全技术交底，增强安全意识</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_Toc31160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kern w:val="2"/>
              <w:sz w:val="24"/>
              <w:szCs w:val="24"/>
              <w:highlight w:val="none"/>
              <w:lang w:val="en-US" w:eastAsia="zh-CN" w:bidi="ar-SA"/>
            </w:rPr>
            <w:fldChar w:fldCharType="end"/>
          </w:r>
        </w:p>
        <w:p w14:paraId="0B3E5521">
          <w:pPr>
            <w:rPr>
              <w:rFonts w:ascii="Times New Roman" w:hAnsi="Times New Roman" w:eastAsia="仿宋_GB2312" w:cs="Times New Roman"/>
              <w:b/>
              <w:kern w:val="2"/>
              <w:sz w:val="32"/>
              <w:szCs w:val="32"/>
              <w:highlight w:val="none"/>
              <w:lang w:val="en-US" w:eastAsia="zh-CN" w:bidi="ar-SA"/>
            </w:rPr>
          </w:pPr>
          <w:r>
            <w:rPr>
              <w:rFonts w:hint="default" w:ascii="Times New Roman" w:hAnsi="Times New Roman" w:eastAsia="仿宋_GB2312" w:cs="Times New Roman"/>
              <w:b/>
              <w:kern w:val="2"/>
              <w:szCs w:val="32"/>
              <w:highlight w:val="none"/>
              <w:lang w:val="en-US" w:eastAsia="zh-CN" w:bidi="ar-SA"/>
            </w:rPr>
            <w:fldChar w:fldCharType="end"/>
          </w:r>
        </w:p>
      </w:sdtContent>
    </w:sdt>
    <w:p w14:paraId="56855CAC">
      <w:pPr>
        <w:ind w:left="0" w:leftChars="0" w:firstLine="0" w:firstLineChars="0"/>
        <w:rPr>
          <w:rFonts w:ascii="Times New Roman" w:hAnsi="Times New Roman" w:eastAsia="仿宋_GB2312" w:cs="Times New Roman"/>
          <w:b/>
          <w:kern w:val="2"/>
          <w:sz w:val="32"/>
          <w:szCs w:val="32"/>
          <w:highlight w:val="none"/>
          <w:lang w:val="en-US" w:eastAsia="zh-CN" w:bidi="ar-SA"/>
        </w:rPr>
      </w:pPr>
    </w:p>
    <w:p w14:paraId="104D3FCC">
      <w:pPr>
        <w:bidi w:val="0"/>
        <w:rPr>
          <w:rFonts w:hint="eastAsia"/>
          <w:highlight w:val="none"/>
          <w:lang w:val="en-US" w:eastAsia="zh-CN"/>
        </w:rPr>
      </w:pPr>
      <w:r>
        <w:rPr>
          <w:rFonts w:hint="eastAsia"/>
          <w:highlight w:val="none"/>
          <w:lang w:val="en-US" w:eastAsia="zh-CN"/>
        </w:rPr>
        <w:t>2024年9月24日9时35分许，烟台双子建设工程有限公司在莱山区森霆春晓小区道路施工过程中发生一起一般物体打击事故，造成2人死亡，直接经济损失</w:t>
      </w:r>
      <w:r>
        <w:rPr>
          <w:rFonts w:hint="eastAsia"/>
          <w:color w:val="auto"/>
          <w:highlight w:val="none"/>
          <w:lang w:val="en-US" w:eastAsia="zh-CN"/>
        </w:rPr>
        <w:t>约286万元。</w:t>
      </w:r>
    </w:p>
    <w:p w14:paraId="243DC969">
      <w:pPr>
        <w:bidi w:val="0"/>
        <w:rPr>
          <w:rFonts w:hint="eastAsia"/>
          <w:highlight w:val="none"/>
          <w:lang w:val="en-US" w:eastAsia="zh-CN"/>
        </w:rPr>
      </w:pPr>
      <w:r>
        <w:rPr>
          <w:rFonts w:hint="eastAsia"/>
          <w:highlight w:val="none"/>
          <w:lang w:val="en-US" w:eastAsia="zh-CN"/>
        </w:rPr>
        <w:t>根据</w:t>
      </w:r>
      <w:r>
        <w:rPr>
          <w:rFonts w:hint="eastAsia" w:ascii="仿宋_GB2312" w:hAnsi="楷体" w:eastAsia="仿宋_GB2312"/>
          <w:sz w:val="32"/>
          <w:szCs w:val="32"/>
          <w:highlight w:val="none"/>
        </w:rPr>
        <w:t>《中华人民共和国安全生产法》《中华人民共和国</w:t>
      </w:r>
      <w:r>
        <w:rPr>
          <w:rFonts w:hint="eastAsia" w:ascii="仿宋_GB2312" w:hAnsi="楷体"/>
          <w:sz w:val="32"/>
          <w:szCs w:val="32"/>
          <w:highlight w:val="none"/>
          <w:lang w:val="en-US" w:eastAsia="zh-CN"/>
        </w:rPr>
        <w:t>建筑</w:t>
      </w:r>
      <w:r>
        <w:rPr>
          <w:rFonts w:hint="eastAsia" w:ascii="仿宋_GB2312" w:hAnsi="楷体" w:eastAsia="仿宋_GB2312"/>
          <w:sz w:val="32"/>
          <w:szCs w:val="32"/>
          <w:highlight w:val="none"/>
        </w:rPr>
        <w:t>法》</w:t>
      </w:r>
      <w:r>
        <w:rPr>
          <w:rFonts w:hint="eastAsia"/>
          <w:highlight w:val="none"/>
          <w:lang w:val="en-US" w:eastAsia="zh-CN"/>
        </w:rPr>
        <w:t>《生产安全事故报告和调查处理条例》（国务院令第493号）《山东省生产安全事故报告和调查处理办法》（省政府令第342号）的规定</w:t>
      </w:r>
      <w:r>
        <w:rPr>
          <w:rFonts w:hint="eastAsia" w:ascii="仿宋_GB2312" w:hAnsi="楷体"/>
          <w:sz w:val="32"/>
          <w:szCs w:val="32"/>
          <w:highlight w:val="none"/>
          <w:lang w:val="en-US" w:eastAsia="zh-CN"/>
        </w:rPr>
        <w:t>要求</w:t>
      </w:r>
      <w:r>
        <w:rPr>
          <w:rFonts w:hint="eastAsia"/>
          <w:highlight w:val="none"/>
          <w:lang w:val="en-US" w:eastAsia="zh-CN"/>
        </w:rPr>
        <w:t>，9月24日，莱山区人民政府成立了由区政府办、区应急局、区住建局、烟台市公安局莱山分局、区总工会和莱山经开区管委组成的烟台双子建设工程有限公司“9·24”一般事故调查组（以下简称“事故调查组”），邀请牟平区、芝罘区、福山区人民政府派员参加，特邀</w:t>
      </w:r>
      <w:bookmarkStart w:id="9" w:name="_Hlk56027016"/>
      <w:r>
        <w:rPr>
          <w:rFonts w:hint="eastAsia"/>
          <w:highlight w:val="none"/>
          <w:lang w:val="en-US" w:eastAsia="zh-CN"/>
        </w:rPr>
        <w:t>区纪委监委</w:t>
      </w:r>
      <w:bookmarkEnd w:id="9"/>
      <w:r>
        <w:rPr>
          <w:rFonts w:hint="eastAsia"/>
          <w:highlight w:val="none"/>
          <w:lang w:val="en-US" w:eastAsia="zh-CN"/>
        </w:rPr>
        <w:t>、区人民检察院派员介入，并聘请了相关专家参与，全面展开事故调查工作。</w:t>
      </w:r>
      <w:r>
        <w:rPr>
          <w:rFonts w:hint="eastAsia" w:cs="仿宋_GB2312"/>
          <w:snapToGrid/>
          <w:vanish w:val="0"/>
          <w:color w:val="auto"/>
          <w:sz w:val="32"/>
          <w:szCs w:val="32"/>
          <w:highlight w:val="none"/>
          <w:lang w:val="en-US" w:eastAsia="zh-CN"/>
        </w:rPr>
        <w:t>9月25日，市政府安委会办公室对本起事故查处挂牌督办</w:t>
      </w:r>
      <w:r>
        <w:rPr>
          <w:rFonts w:hint="eastAsia"/>
          <w:highlight w:val="none"/>
          <w:lang w:val="en-US" w:eastAsia="zh-CN"/>
        </w:rPr>
        <w:t>。</w:t>
      </w:r>
    </w:p>
    <w:p w14:paraId="7186DA35">
      <w:pPr>
        <w:bidi w:val="0"/>
        <w:rPr>
          <w:rFonts w:hint="eastAsia" w:ascii="仿宋_GB2312" w:hAnsi="仿宋_GB2312" w:eastAsia="仿宋_GB2312" w:cs="仿宋_GB2312"/>
          <w:color w:val="auto"/>
          <w:szCs w:val="32"/>
          <w:highlight w:val="none"/>
          <w:lang w:val="en-US" w:eastAsia="zh-CN"/>
        </w:rPr>
      </w:pPr>
      <w:r>
        <w:rPr>
          <w:rFonts w:hint="eastAsia"/>
          <w:highlight w:val="none"/>
          <w:lang w:val="en-US" w:eastAsia="zh-CN"/>
        </w:rPr>
        <w:t>调查组按照“四不放过”和科学严谨、依法依规、实事求是、注重实效的原则，通过现场勘查、调查取证、检验检测、查阅资料和综合分析，</w:t>
      </w:r>
      <w:r>
        <w:rPr>
          <w:rFonts w:hint="eastAsia" w:ascii="仿宋_GB2312" w:hAnsi="楷体" w:eastAsia="仿宋_GB2312"/>
          <w:sz w:val="32"/>
          <w:szCs w:val="32"/>
          <w:highlight w:val="none"/>
        </w:rPr>
        <w:t>查明了事故发生经过、原因、人员伤亡情况和直接经济损失，认定了事故性质和责任，提出了对有关责任单位和责任人员的处理建议，总结了事故教训，提出了整改和防范措施建议。</w:t>
      </w:r>
      <w:r>
        <w:rPr>
          <w:rFonts w:hint="eastAsia" w:ascii="仿宋_GB2312" w:hAnsi="仿宋_GB2312" w:eastAsia="仿宋_GB2312" w:cs="仿宋_GB2312"/>
          <w:b w:val="0"/>
          <w:i w:val="0"/>
          <w:snapToGrid/>
          <w:color w:val="auto"/>
          <w:spacing w:val="0"/>
          <w:w w:val="100"/>
          <w:kern w:val="0"/>
          <w:sz w:val="32"/>
          <w:szCs w:val="32"/>
          <w:highlight w:val="none"/>
          <w:u w:val="none"/>
          <w:lang w:val="en-US" w:eastAsia="zh-CN" w:bidi="ar"/>
        </w:rPr>
        <w:t>莱山区委监委组织对相关单位及人员进行了问责调查，提出了问责建议</w:t>
      </w:r>
      <w:r>
        <w:rPr>
          <w:rFonts w:hint="eastAsia" w:ascii="仿宋_GB2312" w:hAnsi="楷体"/>
          <w:sz w:val="32"/>
          <w:szCs w:val="32"/>
          <w:highlight w:val="none"/>
          <w:lang w:eastAsia="zh-CN"/>
        </w:rPr>
        <w:t>。</w:t>
      </w:r>
    </w:p>
    <w:p w14:paraId="74EF2329">
      <w:pPr>
        <w:bidi w:val="0"/>
        <w:rPr>
          <w:rFonts w:hint="eastAsia"/>
          <w:highlight w:val="none"/>
          <w:lang w:val="en-US" w:eastAsia="zh-CN"/>
        </w:rPr>
      </w:pPr>
      <w:r>
        <w:rPr>
          <w:rFonts w:hint="eastAsia"/>
          <w:highlight w:val="none"/>
          <w:lang w:val="en-US" w:eastAsia="zh-CN"/>
        </w:rPr>
        <w:t>经调查认定，</w:t>
      </w:r>
      <w:r>
        <w:rPr>
          <w:rFonts w:hint="eastAsia" w:ascii="黑体" w:hAnsi="黑体" w:eastAsia="黑体" w:cs="黑体"/>
          <w:color w:val="auto"/>
          <w:highlight w:val="none"/>
          <w:lang w:val="en-US" w:eastAsia="zh-CN"/>
        </w:rPr>
        <w:t>莱山经开区烟台双子建设工程有限公司“9·24”一般物体打击事故是一起因企业主体责任落实不到位，现场作业人员在未经夯实的回填土地面用不符合规定的垫木支架泵车，回填土承载力不足，支腿下陷，泵车倾斜、输料臂甩动击中作业人员而导致的一般生产安全责任事故。</w:t>
      </w:r>
    </w:p>
    <w:p w14:paraId="26F26C0E">
      <w:pPr>
        <w:pStyle w:val="2"/>
        <w:bidi w:val="0"/>
        <w:rPr>
          <w:rFonts w:hint="eastAsia"/>
          <w:highlight w:val="none"/>
        </w:rPr>
      </w:pPr>
      <w:bookmarkStart w:id="10" w:name="_Toc7313"/>
      <w:bookmarkStart w:id="11" w:name="_Toc28573"/>
      <w:bookmarkStart w:id="12" w:name="_Toc29863"/>
      <w:bookmarkStart w:id="13" w:name="_Toc15622"/>
      <w:bookmarkStart w:id="14" w:name="_Toc7358"/>
      <w:bookmarkStart w:id="15" w:name="_Toc25804"/>
      <w:bookmarkStart w:id="16" w:name="_Toc22069"/>
      <w:bookmarkStart w:id="17" w:name="_Toc21544"/>
      <w:r>
        <w:rPr>
          <w:rFonts w:hint="eastAsia"/>
          <w:highlight w:val="none"/>
          <w:lang w:val="en-US" w:eastAsia="zh-CN"/>
        </w:rPr>
        <w:t>一、事故</w:t>
      </w:r>
      <w:r>
        <w:rPr>
          <w:rFonts w:hint="eastAsia"/>
          <w:highlight w:val="none"/>
        </w:rPr>
        <w:t>基本情况</w:t>
      </w:r>
      <w:bookmarkEnd w:id="10"/>
      <w:bookmarkEnd w:id="11"/>
      <w:bookmarkEnd w:id="12"/>
      <w:bookmarkEnd w:id="13"/>
      <w:bookmarkEnd w:id="14"/>
      <w:bookmarkEnd w:id="15"/>
      <w:bookmarkEnd w:id="16"/>
      <w:bookmarkEnd w:id="17"/>
    </w:p>
    <w:p w14:paraId="0F383D87">
      <w:pPr>
        <w:pStyle w:val="3"/>
        <w:bidi w:val="0"/>
        <w:rPr>
          <w:rFonts w:hint="eastAsia"/>
          <w:highlight w:val="none"/>
        </w:rPr>
      </w:pPr>
      <w:bookmarkStart w:id="18" w:name="_Toc22807"/>
      <w:bookmarkStart w:id="19" w:name="_Toc13233"/>
      <w:bookmarkStart w:id="20" w:name="_Toc27473"/>
      <w:bookmarkStart w:id="21" w:name="_Toc2754"/>
      <w:bookmarkStart w:id="22" w:name="_Toc8441"/>
      <w:bookmarkStart w:id="23" w:name="_Toc4217"/>
      <w:bookmarkStart w:id="24" w:name="_Toc30720"/>
      <w:bookmarkStart w:id="25" w:name="_Toc2117"/>
      <w:r>
        <w:rPr>
          <w:rFonts w:hint="eastAsia"/>
          <w:highlight w:val="none"/>
        </w:rPr>
        <w:t>（一）项目概况</w:t>
      </w:r>
      <w:bookmarkEnd w:id="18"/>
      <w:bookmarkEnd w:id="19"/>
      <w:bookmarkEnd w:id="20"/>
      <w:bookmarkEnd w:id="21"/>
      <w:bookmarkEnd w:id="22"/>
      <w:bookmarkEnd w:id="23"/>
      <w:bookmarkEnd w:id="24"/>
      <w:bookmarkEnd w:id="25"/>
    </w:p>
    <w:p w14:paraId="5BE7B90C">
      <w:pPr>
        <w:bidi w:val="0"/>
        <w:rPr>
          <w:rFonts w:hint="default"/>
          <w:highlight w:val="none"/>
          <w:lang w:val="en-US" w:eastAsia="zh-CN"/>
        </w:rPr>
      </w:pPr>
      <w:r>
        <w:rPr>
          <w:rFonts w:hint="eastAsia"/>
          <w:highlight w:val="none"/>
          <w:lang w:val="en-US" w:eastAsia="zh-CN"/>
        </w:rPr>
        <w:t>东宝地块项目，</w:t>
      </w:r>
      <w:r>
        <w:rPr>
          <w:rFonts w:hint="eastAsia"/>
          <w:highlight w:val="none"/>
          <w:lang w:eastAsia="zh-CN"/>
        </w:rPr>
        <w:t>建设用地规划许可证编号地字第</w:t>
      </w:r>
      <w:r>
        <w:rPr>
          <w:rFonts w:hint="eastAsia"/>
          <w:highlight w:val="none"/>
          <w:lang w:val="en-US" w:eastAsia="zh-CN"/>
        </w:rPr>
        <w:t>3706132022号，用地单位为山东森霆置业有限公司，由烟台市人民政府批准用地，用地位置为</w:t>
      </w:r>
      <w:r>
        <w:rPr>
          <w:rFonts w:hint="eastAsia" w:ascii="仿宋_GB2312" w:hAnsi="仿宋_GB2312" w:cs="仿宋_GB2312"/>
          <w:highlight w:val="none"/>
          <w:lang w:val="en-US" w:eastAsia="zh-CN"/>
        </w:rPr>
        <w:t>莱山区东至澳柯玛大街及用地边界、西至</w:t>
      </w:r>
      <w:r>
        <w:rPr>
          <w:rFonts w:hint="eastAsia"/>
          <w:highlight w:val="none"/>
          <w:lang w:val="en-US" w:eastAsia="zh-CN"/>
        </w:rPr>
        <w:t>东宝路、南至盛泉西路、北至规划路及用地边界。总用地面积6.27公顷，可建设用地面积约3.96公顷。土地用途为居住可兼容商服用地，规划建筑面积</w:t>
      </w:r>
      <w:r>
        <w:rPr>
          <w:rFonts w:hint="eastAsia" w:ascii="微软雅黑" w:hAnsi="微软雅黑" w:eastAsia="微软雅黑" w:cs="微软雅黑"/>
          <w:highlight w:val="none"/>
          <w:lang w:val="en-US" w:eastAsia="zh-CN"/>
        </w:rPr>
        <w:t>&gt;</w:t>
      </w:r>
      <w:r>
        <w:rPr>
          <w:rFonts w:hint="eastAsia"/>
          <w:highlight w:val="none"/>
          <w:lang w:val="en-US" w:eastAsia="zh-CN"/>
        </w:rPr>
        <w:t>7.92万平方米且</w:t>
      </w:r>
      <w:r>
        <w:rPr>
          <w:rFonts w:hint="default" w:ascii="Arial" w:hAnsi="Arial" w:cs="Arial"/>
          <w:highlight w:val="none"/>
          <w:lang w:val="en-US" w:eastAsia="zh-CN"/>
        </w:rPr>
        <w:t>≤</w:t>
      </w:r>
      <w:r>
        <w:rPr>
          <w:rFonts w:hint="eastAsia"/>
          <w:highlight w:val="none"/>
          <w:lang w:val="en-US" w:eastAsia="zh-CN"/>
        </w:rPr>
        <w:t>8.34万平方米，以公开出让土地方式取得土地。</w:t>
      </w:r>
    </w:p>
    <w:p w14:paraId="2B41AA03">
      <w:pPr>
        <w:pStyle w:val="3"/>
        <w:bidi w:val="0"/>
        <w:rPr>
          <w:rFonts w:hint="default"/>
          <w:strike w:val="0"/>
          <w:color w:val="auto"/>
          <w:highlight w:val="none"/>
          <w:lang w:val="en-US" w:eastAsia="zh-CN"/>
        </w:rPr>
      </w:pPr>
      <w:bookmarkStart w:id="26" w:name="_Toc19812"/>
      <w:bookmarkStart w:id="27" w:name="_Toc25850"/>
      <w:bookmarkStart w:id="28" w:name="_Toc9413"/>
      <w:bookmarkStart w:id="29" w:name="_Toc15275"/>
      <w:bookmarkStart w:id="30" w:name="_Toc19732"/>
      <w:bookmarkStart w:id="31" w:name="_Toc28835"/>
      <w:bookmarkStart w:id="32" w:name="_Toc8072"/>
      <w:bookmarkStart w:id="33" w:name="_Toc18621"/>
      <w:r>
        <w:rPr>
          <w:rFonts w:hint="eastAsia"/>
          <w:highlight w:val="none"/>
          <w:lang w:eastAsia="zh-CN"/>
        </w:rPr>
        <w:t>（</w:t>
      </w:r>
      <w:r>
        <w:rPr>
          <w:rFonts w:hint="eastAsia"/>
          <w:highlight w:val="none"/>
          <w:lang w:val="en-US" w:eastAsia="zh-CN"/>
        </w:rPr>
        <w:t>二</w:t>
      </w:r>
      <w:r>
        <w:rPr>
          <w:rFonts w:hint="eastAsia"/>
          <w:highlight w:val="none"/>
          <w:lang w:eastAsia="zh-CN"/>
        </w:rPr>
        <w:t>）</w:t>
      </w:r>
      <w:bookmarkEnd w:id="26"/>
      <w:bookmarkEnd w:id="27"/>
      <w:bookmarkEnd w:id="28"/>
      <w:bookmarkEnd w:id="29"/>
      <w:bookmarkEnd w:id="30"/>
      <w:bookmarkEnd w:id="31"/>
      <w:bookmarkEnd w:id="32"/>
      <w:r>
        <w:rPr>
          <w:rFonts w:hint="eastAsia"/>
          <w:strike w:val="0"/>
          <w:dstrike w:val="0"/>
          <w:color w:val="auto"/>
          <w:highlight w:val="none"/>
          <w:lang w:val="en-US" w:eastAsia="zh-CN"/>
        </w:rPr>
        <w:t>相关参建单位概况</w:t>
      </w:r>
      <w:bookmarkEnd w:id="33"/>
    </w:p>
    <w:p w14:paraId="4B7EDAF5">
      <w:pPr>
        <w:pStyle w:val="5"/>
        <w:bidi w:val="0"/>
        <w:rPr>
          <w:rFonts w:hint="eastAsia"/>
          <w:b/>
          <w:bCs/>
          <w:highlight w:val="none"/>
          <w:lang w:val="en-US" w:eastAsia="zh-CN"/>
        </w:rPr>
      </w:pPr>
      <w:r>
        <w:rPr>
          <w:rFonts w:hint="eastAsia"/>
          <w:highlight w:val="none"/>
        </w:rPr>
        <w:t>1</w:t>
      </w:r>
      <w:r>
        <w:rPr>
          <w:rFonts w:hint="eastAsia"/>
          <w:highlight w:val="none"/>
          <w:lang w:eastAsia="zh-CN"/>
        </w:rPr>
        <w:t>.</w:t>
      </w:r>
      <w:r>
        <w:rPr>
          <w:rFonts w:hint="eastAsia"/>
          <w:highlight w:val="none"/>
          <w:lang w:val="en-US" w:eastAsia="zh-CN"/>
        </w:rPr>
        <w:t>建设单位</w:t>
      </w:r>
      <w:r>
        <w:rPr>
          <w:rFonts w:hint="eastAsia"/>
          <w:b/>
          <w:bCs/>
          <w:highlight w:val="none"/>
          <w:lang w:val="en-US" w:eastAsia="zh-CN"/>
        </w:rPr>
        <w:t>山东森霆置业有限公司（以下简称森霆置业）</w:t>
      </w:r>
    </w:p>
    <w:p w14:paraId="6D16C95A">
      <w:pPr>
        <w:bidi w:val="0"/>
        <w:rPr>
          <w:rFonts w:hint="eastAsia" w:eastAsia="仿宋_GB2312"/>
          <w:highlight w:val="none"/>
          <w:lang w:val="en-US" w:eastAsia="zh-CN"/>
        </w:rPr>
      </w:pPr>
      <w:r>
        <w:rPr>
          <w:rFonts w:hint="default"/>
          <w:highlight w:val="none"/>
          <w:lang w:val="en-US" w:eastAsia="zh-CN"/>
        </w:rPr>
        <w:t>成立</w:t>
      </w:r>
      <w:r>
        <w:rPr>
          <w:rFonts w:hint="eastAsia"/>
          <w:highlight w:val="none"/>
          <w:lang w:val="en-US" w:eastAsia="zh-CN"/>
        </w:rPr>
        <w:t>于</w:t>
      </w:r>
      <w:r>
        <w:rPr>
          <w:rFonts w:hint="default"/>
          <w:highlight w:val="none"/>
          <w:lang w:val="en-US" w:eastAsia="zh-CN"/>
        </w:rPr>
        <w:t>2021年11月16日</w:t>
      </w:r>
      <w:r>
        <w:rPr>
          <w:rFonts w:hint="eastAsia"/>
          <w:highlight w:val="none"/>
          <w:lang w:val="en-US" w:eastAsia="zh-CN"/>
        </w:rPr>
        <w:t>，法定代表人王</w:t>
      </w:r>
      <w:r>
        <w:rPr>
          <w:rFonts w:hint="eastAsia" w:ascii="仿宋_GB2312" w:hAnsi="仿宋_GB2312" w:eastAsia="仿宋_GB2312" w:cs="仿宋_GB2312"/>
          <w:highlight w:val="none"/>
          <w:lang w:val="en-US" w:eastAsia="zh-CN"/>
        </w:rPr>
        <w:t>**</w:t>
      </w:r>
      <w:r>
        <w:rPr>
          <w:rFonts w:hint="eastAsia"/>
          <w:highlight w:val="none"/>
          <w:lang w:val="en-US" w:eastAsia="zh-CN"/>
        </w:rPr>
        <w:t>，企业</w:t>
      </w:r>
      <w:r>
        <w:rPr>
          <w:rFonts w:hint="default"/>
          <w:highlight w:val="none"/>
          <w:lang w:val="en-US" w:eastAsia="zh-CN"/>
        </w:rPr>
        <w:t>类型</w:t>
      </w:r>
      <w:r>
        <w:rPr>
          <w:rFonts w:hint="eastAsia"/>
          <w:highlight w:val="none"/>
          <w:lang w:val="en-US" w:eastAsia="zh-CN"/>
        </w:rPr>
        <w:t>为</w:t>
      </w:r>
      <w:r>
        <w:rPr>
          <w:rFonts w:hint="default"/>
          <w:highlight w:val="none"/>
          <w:lang w:val="en-US" w:eastAsia="zh-CN"/>
        </w:rPr>
        <w:t>其他有限责任公司</w:t>
      </w:r>
      <w:r>
        <w:rPr>
          <w:rFonts w:hint="eastAsia"/>
          <w:highlight w:val="none"/>
          <w:lang w:val="en-US" w:eastAsia="zh-CN"/>
        </w:rPr>
        <w:t>，</w:t>
      </w:r>
      <w:r>
        <w:rPr>
          <w:rFonts w:hint="default"/>
          <w:highlight w:val="none"/>
          <w:lang w:val="en-US" w:eastAsia="zh-CN"/>
        </w:rPr>
        <w:t>住所</w:t>
      </w:r>
      <w:r>
        <w:rPr>
          <w:rFonts w:hint="eastAsia"/>
          <w:highlight w:val="none"/>
          <w:lang w:val="en-US" w:eastAsia="zh-CN"/>
        </w:rPr>
        <w:t>地为</w:t>
      </w:r>
      <w:r>
        <w:rPr>
          <w:rFonts w:hint="default"/>
          <w:highlight w:val="none"/>
          <w:lang w:val="en-US" w:eastAsia="zh-CN"/>
        </w:rPr>
        <w:t>山东省烟台市莱山区盛泉西路9号</w:t>
      </w:r>
      <w:r>
        <w:rPr>
          <w:rFonts w:hint="eastAsia"/>
          <w:highlight w:val="none"/>
          <w:lang w:val="en-US" w:eastAsia="zh-CN"/>
        </w:rPr>
        <w:t>，</w:t>
      </w:r>
      <w:r>
        <w:rPr>
          <w:rFonts w:hint="eastAsia"/>
          <w:highlight w:val="none"/>
          <w:lang w:val="zh-TW" w:eastAsia="zh-TW"/>
        </w:rPr>
        <w:t>社会信用代码</w:t>
      </w:r>
      <w:r>
        <w:rPr>
          <w:rFonts w:hint="eastAsia"/>
          <w:highlight w:val="none"/>
          <w:lang w:val="en-US" w:eastAsia="zh-CN"/>
        </w:rPr>
        <w:t>91370613MA7C1JP82N，</w:t>
      </w:r>
      <w:r>
        <w:rPr>
          <w:rFonts w:hint="default"/>
          <w:highlight w:val="none"/>
          <w:lang w:val="en-US" w:eastAsia="zh-CN"/>
        </w:rPr>
        <w:t>注册号370613200251867</w:t>
      </w:r>
      <w:r>
        <w:rPr>
          <w:rFonts w:hint="eastAsia"/>
          <w:highlight w:val="none"/>
          <w:lang w:val="en-US" w:eastAsia="zh-CN"/>
        </w:rPr>
        <w:t>，</w:t>
      </w:r>
      <w:r>
        <w:rPr>
          <w:rFonts w:hint="default"/>
          <w:highlight w:val="none"/>
          <w:lang w:val="en-US" w:eastAsia="zh-CN"/>
        </w:rPr>
        <w:t>注册资本5000万</w:t>
      </w:r>
      <w:r>
        <w:rPr>
          <w:rFonts w:hint="eastAsia"/>
          <w:highlight w:val="none"/>
          <w:lang w:val="en-US" w:eastAsia="zh-CN"/>
        </w:rPr>
        <w:t>，</w:t>
      </w:r>
      <w:r>
        <w:rPr>
          <w:rFonts w:hint="default"/>
          <w:highlight w:val="none"/>
          <w:lang w:val="en-US" w:eastAsia="zh-CN"/>
        </w:rPr>
        <w:t>登记机关</w:t>
      </w:r>
      <w:r>
        <w:rPr>
          <w:rFonts w:hint="eastAsia"/>
          <w:highlight w:val="none"/>
          <w:lang w:val="en-US" w:eastAsia="zh-CN"/>
        </w:rPr>
        <w:t>为</w:t>
      </w:r>
      <w:r>
        <w:rPr>
          <w:rFonts w:hint="default"/>
          <w:highlight w:val="none"/>
          <w:lang w:val="en-US" w:eastAsia="zh-CN"/>
        </w:rPr>
        <w:t>烟台市莱山区市场监督管理局</w:t>
      </w:r>
      <w:r>
        <w:rPr>
          <w:rFonts w:hint="eastAsia"/>
          <w:highlight w:val="none"/>
          <w:lang w:val="en-US" w:eastAsia="zh-CN"/>
        </w:rPr>
        <w:t>。</w:t>
      </w:r>
      <w:r>
        <w:rPr>
          <w:rFonts w:hint="default"/>
          <w:highlight w:val="none"/>
          <w:lang w:val="en-US" w:eastAsia="zh-CN"/>
        </w:rPr>
        <w:t>经营范围包括许可项目：房地产开发经营；建设工程施工；住宅室内装饰装修。</w:t>
      </w:r>
    </w:p>
    <w:p w14:paraId="4E12A0B3">
      <w:pPr>
        <w:bidi w:val="0"/>
        <w:rPr>
          <w:rFonts w:hint="eastAsia" w:ascii="仿宋_GB2312" w:hAnsi="仿宋_GB2312" w:eastAsia="仿宋_GB2312" w:cs="仿宋_GB2312"/>
          <w:color w:val="000000"/>
          <w:szCs w:val="32"/>
          <w:highlight w:val="none"/>
        </w:rPr>
      </w:pPr>
      <w:r>
        <w:rPr>
          <w:rFonts w:hint="eastAsia"/>
          <w:highlight w:val="none"/>
        </w:rPr>
        <w:t>房地产开发企业资质贰级</w:t>
      </w:r>
      <w:r>
        <w:rPr>
          <w:rFonts w:hint="eastAsia"/>
          <w:highlight w:val="none"/>
          <w:lang w:eastAsia="zh-CN"/>
        </w:rPr>
        <w:t>，</w:t>
      </w:r>
      <w:r>
        <w:rPr>
          <w:rFonts w:hint="eastAsia"/>
          <w:highlight w:val="none"/>
        </w:rPr>
        <w:t>证书编号060120020</w:t>
      </w:r>
      <w:r>
        <w:rPr>
          <w:rFonts w:hint="eastAsia"/>
          <w:highlight w:val="none"/>
          <w:lang w:eastAsia="zh-CN"/>
        </w:rPr>
        <w:t>，</w:t>
      </w:r>
      <w:r>
        <w:rPr>
          <w:rFonts w:hint="eastAsia"/>
          <w:highlight w:val="none"/>
          <w:lang w:val="en-US" w:eastAsia="zh-CN"/>
        </w:rPr>
        <w:t>发证机关为烟台市住房和城乡建设局，</w:t>
      </w:r>
      <w:r>
        <w:rPr>
          <w:rFonts w:hint="eastAsia"/>
          <w:highlight w:val="none"/>
        </w:rPr>
        <w:t>发证日期</w:t>
      </w:r>
      <w:r>
        <w:rPr>
          <w:rFonts w:hint="eastAsia"/>
          <w:highlight w:val="none"/>
          <w:lang w:eastAsia="zh-CN"/>
        </w:rPr>
        <w:t>为</w:t>
      </w:r>
      <w:r>
        <w:rPr>
          <w:rFonts w:hint="eastAsia"/>
          <w:highlight w:val="none"/>
        </w:rPr>
        <w:t>2023年2月10日</w:t>
      </w:r>
      <w:r>
        <w:rPr>
          <w:rFonts w:hint="eastAsia"/>
          <w:highlight w:val="none"/>
          <w:lang w:eastAsia="zh-CN"/>
        </w:rPr>
        <w:t>，</w:t>
      </w:r>
      <w:r>
        <w:rPr>
          <w:rFonts w:hint="eastAsia"/>
          <w:highlight w:val="none"/>
        </w:rPr>
        <w:t>有效期至202</w:t>
      </w:r>
      <w:r>
        <w:rPr>
          <w:rFonts w:hint="eastAsia"/>
          <w:highlight w:val="none"/>
          <w:lang w:val="en-US" w:eastAsia="zh-CN"/>
        </w:rPr>
        <w:t>5</w:t>
      </w:r>
      <w:r>
        <w:rPr>
          <w:rFonts w:hint="eastAsia"/>
          <w:highlight w:val="none"/>
        </w:rPr>
        <w:t>年</w:t>
      </w:r>
      <w:r>
        <w:rPr>
          <w:rFonts w:hint="eastAsia"/>
          <w:highlight w:val="none"/>
          <w:lang w:val="en-US" w:eastAsia="zh-CN"/>
        </w:rPr>
        <w:t>5</w:t>
      </w:r>
      <w:r>
        <w:rPr>
          <w:rFonts w:hint="eastAsia"/>
          <w:highlight w:val="none"/>
        </w:rPr>
        <w:t>月1</w:t>
      </w:r>
      <w:r>
        <w:rPr>
          <w:rFonts w:hint="eastAsia"/>
          <w:highlight w:val="none"/>
          <w:lang w:val="en-US" w:eastAsia="zh-CN"/>
        </w:rPr>
        <w:t>8</w:t>
      </w:r>
      <w:r>
        <w:rPr>
          <w:rFonts w:hint="eastAsia"/>
          <w:highlight w:val="none"/>
        </w:rPr>
        <w:t>日。</w:t>
      </w:r>
    </w:p>
    <w:p w14:paraId="52C958C2">
      <w:pPr>
        <w:pStyle w:val="5"/>
        <w:numPr>
          <w:ilvl w:val="0"/>
          <w:numId w:val="0"/>
        </w:numPr>
        <w:bidi w:val="0"/>
        <w:ind w:firstLine="643"/>
        <w:rPr>
          <w:rFonts w:hint="eastAsia"/>
          <w:b/>
          <w:bCs/>
          <w:highlight w:val="none"/>
          <w:lang w:val="en-US" w:eastAsia="zh-CN"/>
        </w:rPr>
      </w:pPr>
      <w:r>
        <w:rPr>
          <w:rFonts w:hint="eastAsia" w:ascii="Times New Roman" w:hAnsi="Times New Roman" w:eastAsia="仿宋_GB2312" w:cs="Times New Roman"/>
          <w:b/>
          <w:kern w:val="2"/>
          <w:sz w:val="32"/>
          <w:szCs w:val="32"/>
          <w:highlight w:val="none"/>
          <w:lang w:val="en-US" w:eastAsia="zh-CN" w:bidi="ar-SA"/>
        </w:rPr>
        <w:t>2.</w:t>
      </w:r>
      <w:r>
        <w:rPr>
          <w:rFonts w:hint="eastAsia"/>
          <w:highlight w:val="none"/>
          <w:lang w:eastAsia="zh-CN"/>
        </w:rPr>
        <w:t>总包单位</w:t>
      </w:r>
      <w:r>
        <w:rPr>
          <w:rFonts w:hint="eastAsia"/>
          <w:b/>
          <w:bCs/>
          <w:highlight w:val="none"/>
          <w:lang w:val="en-US" w:eastAsia="zh-CN"/>
        </w:rPr>
        <w:t>山东泰鸿置业有限公司（以下简称泰鸿置业）</w:t>
      </w:r>
    </w:p>
    <w:p w14:paraId="2FE80C79">
      <w:pPr>
        <w:keepNext w:val="0"/>
        <w:keepLines w:val="0"/>
        <w:pageBreakBefore w:val="0"/>
        <w:widowControl w:val="0"/>
        <w:kinsoku/>
        <w:wordWrap/>
        <w:overflowPunct/>
        <w:topLinePunct w:val="0"/>
        <w:autoSpaceDE/>
        <w:autoSpaceDN/>
        <w:bidi w:val="0"/>
        <w:adjustRightInd w:val="0"/>
        <w:snapToGrid w:val="0"/>
        <w:textAlignment w:val="auto"/>
        <w:rPr>
          <w:rFonts w:hint="eastAsia"/>
          <w:highlight w:val="none"/>
          <w:lang w:val="en-US" w:eastAsia="zh-CN"/>
        </w:rPr>
      </w:pPr>
      <w:r>
        <w:rPr>
          <w:rFonts w:hint="eastAsia"/>
          <w:highlight w:val="none"/>
          <w:lang w:val="en-US" w:eastAsia="zh-CN"/>
        </w:rPr>
        <w:t>成立于2005年3月15日，法定代表人李</w:t>
      </w:r>
      <w:r>
        <w:rPr>
          <w:rFonts w:hint="eastAsia" w:ascii="仿宋_GB2312" w:hAnsi="仿宋_GB2312" w:eastAsia="仿宋_GB2312" w:cs="仿宋_GB2312"/>
          <w:highlight w:val="none"/>
          <w:lang w:val="en-US" w:eastAsia="zh-CN"/>
        </w:rPr>
        <w:t>**</w:t>
      </w:r>
      <w:r>
        <w:rPr>
          <w:rFonts w:hint="eastAsia"/>
          <w:highlight w:val="none"/>
          <w:lang w:val="en-US" w:eastAsia="zh-CN"/>
        </w:rPr>
        <w:t>，企业类型为有限责任公司，</w:t>
      </w:r>
      <w:r>
        <w:rPr>
          <w:rFonts w:hint="default"/>
          <w:highlight w:val="none"/>
          <w:lang w:val="en-US" w:eastAsia="zh-CN"/>
        </w:rPr>
        <w:t>住所</w:t>
      </w:r>
      <w:r>
        <w:rPr>
          <w:rFonts w:hint="eastAsia"/>
          <w:highlight w:val="none"/>
          <w:lang w:val="en-US" w:eastAsia="zh-CN"/>
        </w:rPr>
        <w:t>地为山东省烟台市经济技术开发区衡山路18号万行广场1号楼1605号，统一社会信用代码91370613772085171T，注册号370600228179168，注册资本10000万，登记机关为烟台市市场监督管理局开发区分局。经营范围包括许可项目：建设工程施工（依法须经批准的项目，经相关部门批准后方可开展经营活动，具体经营项目以相关部门批准文件或许可证件为准）；一般项目：砼结构构件制造，工程管理服务（除依法须经批准的项目外，凭营业执照依法自主开展经营活动）。</w:t>
      </w:r>
    </w:p>
    <w:p w14:paraId="1CE73E7B">
      <w:pPr>
        <w:bidi w:val="0"/>
        <w:ind w:left="0" w:leftChars="0" w:firstLine="640" w:firstLineChars="200"/>
        <w:rPr>
          <w:rFonts w:hint="eastAsia"/>
          <w:highlight w:val="none"/>
        </w:rPr>
      </w:pPr>
      <w:r>
        <w:rPr>
          <w:rFonts w:hint="eastAsia"/>
          <w:highlight w:val="none"/>
        </w:rPr>
        <w:t>地基基础工程专业承包贰级，钢结构工程专业承包贰级，建筑装修装饰工程专业承包贰级，建筑机电安装工程专业承包贰级</w:t>
      </w:r>
      <w:r>
        <w:rPr>
          <w:rFonts w:hint="eastAsia"/>
          <w:highlight w:val="none"/>
          <w:lang w:eastAsia="zh-CN"/>
        </w:rPr>
        <w:t>，</w:t>
      </w:r>
      <w:r>
        <w:rPr>
          <w:rFonts w:hint="eastAsia"/>
          <w:highlight w:val="none"/>
        </w:rPr>
        <w:t>证书编号D237115471</w:t>
      </w:r>
      <w:r>
        <w:rPr>
          <w:rFonts w:hint="eastAsia"/>
          <w:highlight w:val="none"/>
          <w:lang w:eastAsia="zh-CN"/>
        </w:rPr>
        <w:t>，</w:t>
      </w:r>
      <w:r>
        <w:rPr>
          <w:rFonts w:hint="eastAsia"/>
          <w:highlight w:val="none"/>
          <w:lang w:val="en-US" w:eastAsia="zh-CN"/>
        </w:rPr>
        <w:t>发证机关为山东省住房和城乡建设厅，</w:t>
      </w:r>
      <w:r>
        <w:rPr>
          <w:rFonts w:hint="eastAsia"/>
          <w:highlight w:val="none"/>
        </w:rPr>
        <w:t>发证日期</w:t>
      </w:r>
      <w:r>
        <w:rPr>
          <w:rFonts w:hint="eastAsia"/>
          <w:highlight w:val="none"/>
          <w:lang w:eastAsia="zh-CN"/>
        </w:rPr>
        <w:t>为</w:t>
      </w:r>
      <w:r>
        <w:rPr>
          <w:rFonts w:hint="eastAsia"/>
          <w:highlight w:val="none"/>
        </w:rPr>
        <w:t>2023年12月29日</w:t>
      </w:r>
      <w:r>
        <w:rPr>
          <w:rFonts w:hint="eastAsia"/>
          <w:highlight w:val="none"/>
          <w:lang w:eastAsia="zh-CN"/>
        </w:rPr>
        <w:t>，</w:t>
      </w:r>
      <w:r>
        <w:rPr>
          <w:rFonts w:hint="eastAsia"/>
          <w:highlight w:val="none"/>
        </w:rPr>
        <w:t>有效期至2028年12月29日</w:t>
      </w:r>
      <w:r>
        <w:rPr>
          <w:rFonts w:hint="eastAsia"/>
          <w:highlight w:val="none"/>
          <w:lang w:eastAsia="zh-CN"/>
        </w:rPr>
        <w:t>。</w:t>
      </w:r>
    </w:p>
    <w:p w14:paraId="47520E7B">
      <w:pPr>
        <w:bidi w:val="0"/>
        <w:rPr>
          <w:rFonts w:hint="default" w:ascii="仿宋_GB2312" w:hAnsi="仿宋_GB2312" w:eastAsia="仿宋_GB2312" w:cs="仿宋_GB2312"/>
          <w:color w:val="000000"/>
          <w:szCs w:val="32"/>
          <w:highlight w:val="none"/>
          <w:lang w:val="en-US" w:eastAsia="zh-CN"/>
        </w:rPr>
      </w:pPr>
      <w:r>
        <w:rPr>
          <w:rFonts w:hint="eastAsia"/>
          <w:highlight w:val="none"/>
        </w:rPr>
        <w:t>安全生产许可证编号(鲁)JZ安许证字</w:t>
      </w:r>
      <w:r>
        <w:rPr>
          <w:rFonts w:hint="eastAsia"/>
          <w:highlight w:val="none"/>
          <w:lang w:val="en-US" w:eastAsia="zh-CN"/>
        </w:rPr>
        <w:t>〔</w:t>
      </w:r>
      <w:r>
        <w:rPr>
          <w:rFonts w:hint="eastAsia"/>
          <w:highlight w:val="none"/>
        </w:rPr>
        <w:t>2013</w:t>
      </w:r>
      <w:r>
        <w:rPr>
          <w:rFonts w:hint="eastAsia"/>
          <w:highlight w:val="none"/>
          <w:lang w:val="en-US" w:eastAsia="zh-CN"/>
        </w:rPr>
        <w:t>〕</w:t>
      </w:r>
      <w:r>
        <w:rPr>
          <w:rFonts w:hint="eastAsia"/>
          <w:highlight w:val="none"/>
        </w:rPr>
        <w:t>060680</w:t>
      </w:r>
      <w:r>
        <w:rPr>
          <w:rFonts w:hint="eastAsia"/>
          <w:highlight w:val="none"/>
          <w:lang w:eastAsia="zh-CN"/>
        </w:rPr>
        <w:t>，</w:t>
      </w:r>
      <w:r>
        <w:rPr>
          <w:rFonts w:hint="eastAsia"/>
          <w:highlight w:val="none"/>
          <w:lang w:val="en-US" w:eastAsia="zh-CN"/>
        </w:rPr>
        <w:t>许可范围：建筑施工，发证机关为山东省住房和城乡建设厅，发证时间为2022年9月7日，有效期至2025年11月27日。</w:t>
      </w:r>
    </w:p>
    <w:p w14:paraId="11B24DCC">
      <w:pPr>
        <w:pStyle w:val="5"/>
        <w:ind w:left="0" w:leftChars="0" w:firstLine="643" w:firstLineChars="200"/>
        <w:rPr>
          <w:rFonts w:hint="eastAsia" w:ascii="仿宋_GB2312" w:hAnsi="仿宋_GB2312" w:eastAsia="仿宋_GB2312" w:cs="仿宋_GB2312"/>
          <w:b/>
          <w:bCs/>
          <w:color w:val="000000"/>
          <w:sz w:val="32"/>
          <w:szCs w:val="32"/>
          <w:highlight w:val="none"/>
          <w:lang w:val="en-US" w:eastAsia="zh-CN"/>
        </w:rPr>
      </w:pPr>
      <w:r>
        <w:rPr>
          <w:rFonts w:hint="eastAsia"/>
          <w:highlight w:val="none"/>
          <w:lang w:val="en-US" w:eastAsia="zh-CN"/>
        </w:rPr>
        <w:t>3.</w:t>
      </w:r>
      <w:r>
        <w:rPr>
          <w:rFonts w:hint="eastAsia"/>
          <w:highlight w:val="none"/>
          <w:lang w:eastAsia="zh-CN"/>
        </w:rPr>
        <w:t>专业分包单位</w:t>
      </w:r>
      <w:r>
        <w:rPr>
          <w:rFonts w:hint="eastAsia" w:ascii="仿宋_GB2312" w:hAnsi="仿宋_GB2312" w:eastAsia="仿宋_GB2312" w:cs="仿宋_GB2312"/>
          <w:b/>
          <w:bCs/>
          <w:color w:val="000000"/>
          <w:sz w:val="32"/>
          <w:szCs w:val="32"/>
          <w:highlight w:val="none"/>
          <w:lang w:val="en-US" w:eastAsia="zh-CN"/>
        </w:rPr>
        <w:t>烟台双子建设工程有限公司（以下简称双子建设）</w:t>
      </w:r>
    </w:p>
    <w:p w14:paraId="329A451B">
      <w:pPr>
        <w:bidi w:val="0"/>
        <w:rPr>
          <w:rFonts w:hint="eastAsia"/>
          <w:highlight w:val="none"/>
          <w:lang w:val="en-US" w:eastAsia="zh-CN"/>
        </w:rPr>
      </w:pPr>
      <w:r>
        <w:rPr>
          <w:rFonts w:hint="default"/>
          <w:highlight w:val="none"/>
          <w:lang w:val="en-US" w:eastAsia="zh-CN"/>
        </w:rPr>
        <w:t>成立</w:t>
      </w:r>
      <w:r>
        <w:rPr>
          <w:rFonts w:hint="eastAsia"/>
          <w:highlight w:val="none"/>
          <w:lang w:val="en-US" w:eastAsia="zh-CN"/>
        </w:rPr>
        <w:t>于</w:t>
      </w:r>
      <w:r>
        <w:rPr>
          <w:rFonts w:hint="default"/>
          <w:highlight w:val="none"/>
          <w:lang w:val="en-US" w:eastAsia="zh-CN"/>
        </w:rPr>
        <w:t>2016年9月9日</w:t>
      </w:r>
      <w:r>
        <w:rPr>
          <w:rFonts w:hint="eastAsia"/>
          <w:highlight w:val="none"/>
          <w:lang w:val="en-US" w:eastAsia="zh-CN"/>
        </w:rPr>
        <w:t>，法定代表人李</w:t>
      </w:r>
      <w:r>
        <w:rPr>
          <w:rFonts w:hint="eastAsia" w:ascii="仿宋_GB2312" w:hAnsi="仿宋_GB2312" w:eastAsia="仿宋_GB2312" w:cs="仿宋_GB2312"/>
          <w:highlight w:val="none"/>
          <w:lang w:val="en-US" w:eastAsia="zh-CN"/>
        </w:rPr>
        <w:t>**</w:t>
      </w:r>
      <w:r>
        <w:rPr>
          <w:rFonts w:hint="eastAsia"/>
          <w:highlight w:val="none"/>
          <w:lang w:val="en-US" w:eastAsia="zh-CN"/>
        </w:rPr>
        <w:t>，企业</w:t>
      </w:r>
      <w:r>
        <w:rPr>
          <w:rFonts w:hint="default"/>
          <w:highlight w:val="none"/>
          <w:lang w:val="en-US" w:eastAsia="zh-CN"/>
        </w:rPr>
        <w:t>类型</w:t>
      </w:r>
      <w:r>
        <w:rPr>
          <w:rFonts w:hint="eastAsia"/>
          <w:highlight w:val="none"/>
          <w:lang w:val="en-US" w:eastAsia="zh-CN"/>
        </w:rPr>
        <w:t>为</w:t>
      </w:r>
      <w:r>
        <w:rPr>
          <w:rFonts w:hint="default"/>
          <w:highlight w:val="none"/>
          <w:lang w:val="en-US" w:eastAsia="zh-CN"/>
        </w:rPr>
        <w:t>其他有限责任公司</w:t>
      </w:r>
      <w:r>
        <w:rPr>
          <w:rFonts w:hint="eastAsia"/>
          <w:highlight w:val="none"/>
          <w:lang w:val="en-US" w:eastAsia="zh-CN"/>
        </w:rPr>
        <w:t>，</w:t>
      </w:r>
      <w:r>
        <w:rPr>
          <w:rFonts w:hint="default"/>
          <w:highlight w:val="none"/>
          <w:lang w:val="en-US" w:eastAsia="zh-CN"/>
        </w:rPr>
        <w:t>住所</w:t>
      </w:r>
      <w:r>
        <w:rPr>
          <w:rFonts w:hint="eastAsia"/>
          <w:highlight w:val="none"/>
          <w:lang w:val="en-US" w:eastAsia="zh-CN"/>
        </w:rPr>
        <w:t>地为</w:t>
      </w:r>
      <w:r>
        <w:rPr>
          <w:rFonts w:hint="default"/>
          <w:highlight w:val="none"/>
          <w:lang w:val="en-US" w:eastAsia="zh-CN"/>
        </w:rPr>
        <w:t>山东省烟台市牟平区滨海东路653号龙湖葡醍海湾10号楼1单元15层</w:t>
      </w:r>
      <w:r>
        <w:rPr>
          <w:rFonts w:hint="eastAsia"/>
          <w:highlight w:val="none"/>
          <w:lang w:val="en-US" w:eastAsia="zh-CN"/>
        </w:rPr>
        <w:t>，</w:t>
      </w:r>
      <w:r>
        <w:rPr>
          <w:rFonts w:hint="eastAsia"/>
          <w:highlight w:val="none"/>
          <w:lang w:val="zh-TW" w:eastAsia="zh-TW"/>
        </w:rPr>
        <w:t>社会信用代码</w:t>
      </w:r>
      <w:r>
        <w:rPr>
          <w:rFonts w:hint="eastAsia"/>
          <w:highlight w:val="none"/>
          <w:lang w:val="en-US" w:eastAsia="zh-CN"/>
        </w:rPr>
        <w:t>91370612MA3CGHHD1C，</w:t>
      </w:r>
      <w:r>
        <w:rPr>
          <w:rFonts w:hint="default"/>
          <w:highlight w:val="none"/>
          <w:lang w:val="en-US" w:eastAsia="zh-CN"/>
        </w:rPr>
        <w:t>注册资本1000万</w:t>
      </w:r>
      <w:r>
        <w:rPr>
          <w:rFonts w:hint="eastAsia"/>
          <w:highlight w:val="none"/>
          <w:lang w:val="en-US" w:eastAsia="zh-CN"/>
        </w:rPr>
        <w:t>，</w:t>
      </w:r>
      <w:r>
        <w:rPr>
          <w:rFonts w:hint="default"/>
          <w:highlight w:val="none"/>
          <w:lang w:val="en-US" w:eastAsia="zh-CN"/>
        </w:rPr>
        <w:t>登记机关</w:t>
      </w:r>
      <w:r>
        <w:rPr>
          <w:rFonts w:hint="eastAsia"/>
          <w:highlight w:val="none"/>
          <w:lang w:val="en-US" w:eastAsia="zh-CN"/>
        </w:rPr>
        <w:t>为</w:t>
      </w:r>
      <w:r>
        <w:rPr>
          <w:rFonts w:hint="default"/>
          <w:highlight w:val="none"/>
          <w:lang w:val="en-US" w:eastAsia="zh-CN"/>
        </w:rPr>
        <w:t>烟台市牟平区行政审批服务局</w:t>
      </w:r>
      <w:r>
        <w:rPr>
          <w:rFonts w:hint="eastAsia"/>
          <w:highlight w:val="none"/>
          <w:lang w:val="en-US" w:eastAsia="zh-CN"/>
        </w:rPr>
        <w:t>。</w:t>
      </w:r>
      <w:r>
        <w:rPr>
          <w:rFonts w:hint="default"/>
          <w:highlight w:val="none"/>
          <w:lang w:val="en-US" w:eastAsia="zh-CN"/>
        </w:rPr>
        <w:t>经营范围：市政道路工程建筑，市政工程建筑施工，公路工程建筑施工，园林绿化工程服务等</w:t>
      </w:r>
      <w:r>
        <w:rPr>
          <w:rFonts w:hint="eastAsia"/>
          <w:highlight w:val="none"/>
          <w:lang w:val="en-US" w:eastAsia="zh-CN"/>
        </w:rPr>
        <w:t>。</w:t>
      </w:r>
    </w:p>
    <w:p w14:paraId="1569664C">
      <w:pPr>
        <w:bidi w:val="0"/>
        <w:rPr>
          <w:rFonts w:hint="eastAsia"/>
          <w:highlight w:val="none"/>
          <w:lang w:val="en-US" w:eastAsia="zh-CN"/>
        </w:rPr>
      </w:pPr>
      <w:r>
        <w:rPr>
          <w:rFonts w:hint="eastAsia"/>
          <w:highlight w:val="none"/>
          <w:lang w:val="en-US" w:eastAsia="zh-CN"/>
        </w:rPr>
        <w:t>市政公用工程施工总承包贰级，地基基础工程专业承包贰级，证书编号D237161087，发证机关为山东省住房和城乡建设厅，发证日期为2024年7月16日，有效期至2024年11月21日。</w:t>
      </w:r>
    </w:p>
    <w:p w14:paraId="1EB33C20">
      <w:pPr>
        <w:bidi w:val="0"/>
        <w:rPr>
          <w:rFonts w:hint="eastAsia"/>
          <w:color w:val="auto"/>
          <w:highlight w:val="none"/>
          <w:lang w:val="en-US" w:eastAsia="zh-CN"/>
        </w:rPr>
      </w:pPr>
      <w:r>
        <w:rPr>
          <w:rFonts w:hint="eastAsia"/>
          <w:highlight w:val="none"/>
          <w:lang w:val="en-US" w:eastAsia="zh-CN"/>
        </w:rPr>
        <w:t>安全生产许可证编号（鲁）JZ安许证字〔2018〕061541，许可范围：建筑施工，发证机关为山东省住房和城乡建设厅，发证日期为2024年7月9日，有效期至2027年9月24日。</w:t>
      </w:r>
    </w:p>
    <w:p w14:paraId="547BC8B0">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000000"/>
          <w:sz w:val="32"/>
          <w:szCs w:val="32"/>
          <w:highlight w:val="none"/>
          <w:lang w:val="en-US" w:eastAsia="zh-CN"/>
        </w:rPr>
      </w:pPr>
      <w:r>
        <w:rPr>
          <w:rFonts w:hint="eastAsia"/>
          <w:highlight w:val="none"/>
          <w:lang w:val="en-US" w:eastAsia="zh-CN"/>
        </w:rPr>
        <w:t>4.混凝土泵车单位</w:t>
      </w:r>
      <w:r>
        <w:rPr>
          <w:rFonts w:hint="default" w:ascii="仿宋_GB2312" w:hAnsi="仿宋_GB2312" w:eastAsia="仿宋_GB2312" w:cs="仿宋_GB2312"/>
          <w:b/>
          <w:bCs/>
          <w:color w:val="000000"/>
          <w:sz w:val="32"/>
          <w:szCs w:val="32"/>
          <w:highlight w:val="none"/>
          <w:lang w:val="en-US" w:eastAsia="zh-CN"/>
        </w:rPr>
        <w:t>山东建科装配化建设股份有限公司</w:t>
      </w:r>
      <w:r>
        <w:rPr>
          <w:rFonts w:hint="eastAsia" w:ascii="仿宋_GB2312" w:hAnsi="仿宋_GB2312" w:eastAsia="仿宋_GB2312" w:cs="仿宋_GB2312"/>
          <w:b/>
          <w:bCs/>
          <w:color w:val="000000"/>
          <w:sz w:val="32"/>
          <w:szCs w:val="32"/>
          <w:highlight w:val="none"/>
          <w:lang w:val="en-US" w:eastAsia="zh-CN"/>
        </w:rPr>
        <w:t>（以下简称建科建设）</w:t>
      </w:r>
    </w:p>
    <w:p w14:paraId="1666CBB5">
      <w:pPr>
        <w:bidi w:val="0"/>
        <w:rPr>
          <w:rFonts w:hint="default"/>
          <w:highlight w:val="none"/>
          <w:lang w:val="en-US" w:eastAsia="zh-CN"/>
        </w:rPr>
      </w:pPr>
      <w:r>
        <w:rPr>
          <w:rFonts w:hint="default"/>
          <w:highlight w:val="none"/>
          <w:lang w:val="en-US" w:eastAsia="zh-CN"/>
        </w:rPr>
        <w:t>成立</w:t>
      </w:r>
      <w:r>
        <w:rPr>
          <w:rFonts w:hint="eastAsia"/>
          <w:highlight w:val="none"/>
          <w:lang w:val="en-US" w:eastAsia="zh-CN"/>
        </w:rPr>
        <w:t>于</w:t>
      </w:r>
      <w:r>
        <w:rPr>
          <w:rFonts w:hint="default"/>
          <w:highlight w:val="none"/>
          <w:lang w:val="en-US" w:eastAsia="zh-CN"/>
        </w:rPr>
        <w:t>2016年09月02日</w:t>
      </w:r>
      <w:r>
        <w:rPr>
          <w:rFonts w:hint="eastAsia"/>
          <w:highlight w:val="none"/>
          <w:lang w:val="en-US" w:eastAsia="zh-CN"/>
        </w:rPr>
        <w:t>，法定代表人李</w:t>
      </w:r>
      <w:r>
        <w:rPr>
          <w:rFonts w:hint="eastAsia" w:ascii="仿宋_GB2312" w:hAnsi="仿宋_GB2312" w:eastAsia="仿宋_GB2312" w:cs="仿宋_GB2312"/>
          <w:highlight w:val="none"/>
          <w:lang w:val="en-US" w:eastAsia="zh-CN"/>
        </w:rPr>
        <w:t>**</w:t>
      </w:r>
      <w:r>
        <w:rPr>
          <w:rFonts w:hint="eastAsia"/>
          <w:highlight w:val="none"/>
          <w:lang w:val="en-US" w:eastAsia="zh-CN"/>
        </w:rPr>
        <w:t>，</w:t>
      </w:r>
      <w:r>
        <w:rPr>
          <w:rFonts w:hint="eastAsia" w:ascii="仿宋_GB2312" w:hAnsi="仿宋_GB2312" w:eastAsia="仿宋_GB2312" w:cs="仿宋_GB2312"/>
          <w:sz w:val="32"/>
          <w:szCs w:val="32"/>
          <w:lang w:val="en-US" w:eastAsia="zh-CN"/>
        </w:rPr>
        <w:t>实际控制人</w:t>
      </w:r>
      <w:r>
        <w:rPr>
          <w:rFonts w:hint="eastAsia" w:ascii="仿宋_GB2312" w:hAnsi="仿宋_GB2312" w:cs="仿宋_GB2312"/>
          <w:sz w:val="32"/>
          <w:szCs w:val="32"/>
          <w:lang w:val="en-US" w:eastAsia="zh-CN"/>
        </w:rPr>
        <w:t>黄</w:t>
      </w:r>
      <w:r>
        <w:rPr>
          <w:rFonts w:hint="eastAsia" w:ascii="仿宋_GB2312" w:hAnsi="仿宋_GB2312" w:eastAsia="仿宋_GB2312" w:cs="仿宋_GB2312"/>
          <w:highlight w:val="none"/>
          <w:lang w:val="en-US" w:eastAsia="zh-CN"/>
        </w:rPr>
        <w:t>**</w:t>
      </w:r>
      <w:r>
        <w:rPr>
          <w:rFonts w:hint="eastAsia" w:ascii="仿宋_GB2312" w:hAnsi="仿宋_GB2312" w:cs="仿宋_GB2312"/>
          <w:sz w:val="32"/>
          <w:szCs w:val="32"/>
          <w:lang w:val="en-US" w:eastAsia="zh-CN"/>
        </w:rPr>
        <w:t>，</w:t>
      </w:r>
      <w:r>
        <w:rPr>
          <w:rFonts w:hint="eastAsia"/>
          <w:highlight w:val="none"/>
          <w:lang w:val="en-US" w:eastAsia="zh-CN"/>
        </w:rPr>
        <w:t>企业</w:t>
      </w:r>
      <w:r>
        <w:rPr>
          <w:rFonts w:hint="default"/>
          <w:highlight w:val="none"/>
          <w:lang w:val="en-US" w:eastAsia="zh-CN"/>
        </w:rPr>
        <w:t>类型</w:t>
      </w:r>
      <w:r>
        <w:rPr>
          <w:rFonts w:hint="eastAsia"/>
          <w:highlight w:val="none"/>
          <w:lang w:val="en-US" w:eastAsia="zh-CN"/>
        </w:rPr>
        <w:t>为</w:t>
      </w:r>
      <w:r>
        <w:rPr>
          <w:rFonts w:hint="default"/>
          <w:highlight w:val="none"/>
          <w:lang w:val="en-US" w:eastAsia="zh-CN"/>
        </w:rPr>
        <w:t>其他有限责任公司</w:t>
      </w:r>
      <w:r>
        <w:rPr>
          <w:rFonts w:hint="eastAsia"/>
          <w:highlight w:val="none"/>
          <w:lang w:val="en-US" w:eastAsia="zh-CN"/>
        </w:rPr>
        <w:t>，</w:t>
      </w:r>
      <w:r>
        <w:rPr>
          <w:rFonts w:hint="default"/>
          <w:highlight w:val="none"/>
          <w:lang w:val="en-US" w:eastAsia="zh-CN"/>
        </w:rPr>
        <w:t>住所</w:t>
      </w:r>
      <w:r>
        <w:rPr>
          <w:rFonts w:hint="eastAsia"/>
          <w:highlight w:val="none"/>
          <w:lang w:val="en-US" w:eastAsia="zh-CN"/>
        </w:rPr>
        <w:t>地为</w:t>
      </w:r>
      <w:r>
        <w:rPr>
          <w:rFonts w:hint="default"/>
          <w:highlight w:val="none"/>
          <w:lang w:val="en-US" w:eastAsia="zh-CN"/>
        </w:rPr>
        <w:t>山东省烟台市福山区回里镇鸿泰路8号</w:t>
      </w:r>
      <w:r>
        <w:rPr>
          <w:rFonts w:hint="eastAsia"/>
          <w:highlight w:val="none"/>
          <w:lang w:val="en-US" w:eastAsia="zh-CN"/>
        </w:rPr>
        <w:t>，社会信用代码91370600MA3CG78004，</w:t>
      </w:r>
      <w:r>
        <w:rPr>
          <w:rFonts w:hint="default"/>
          <w:highlight w:val="none"/>
          <w:lang w:val="en-US" w:eastAsia="zh-CN"/>
        </w:rPr>
        <w:t>注册资本3000万</w:t>
      </w:r>
      <w:r>
        <w:rPr>
          <w:rFonts w:hint="eastAsia"/>
          <w:highlight w:val="none"/>
          <w:lang w:val="en-US" w:eastAsia="zh-CN"/>
        </w:rPr>
        <w:t>，</w:t>
      </w:r>
      <w:r>
        <w:rPr>
          <w:rFonts w:hint="default"/>
          <w:highlight w:val="none"/>
          <w:lang w:val="en-US" w:eastAsia="zh-CN"/>
        </w:rPr>
        <w:t>登记机关</w:t>
      </w:r>
      <w:r>
        <w:rPr>
          <w:rFonts w:hint="eastAsia"/>
          <w:highlight w:val="none"/>
          <w:lang w:val="en-US" w:eastAsia="zh-CN"/>
        </w:rPr>
        <w:t>为</w:t>
      </w:r>
      <w:r>
        <w:rPr>
          <w:rFonts w:hint="default"/>
          <w:highlight w:val="none"/>
          <w:lang w:val="en-US" w:eastAsia="zh-CN"/>
        </w:rPr>
        <w:t>烟台市行政审批服务局</w:t>
      </w:r>
      <w:r>
        <w:rPr>
          <w:rFonts w:hint="eastAsia"/>
          <w:highlight w:val="none"/>
          <w:lang w:val="en-US" w:eastAsia="zh-CN"/>
        </w:rPr>
        <w:t>。</w:t>
      </w:r>
      <w:r>
        <w:rPr>
          <w:rFonts w:hint="default"/>
          <w:highlight w:val="none"/>
          <w:lang w:val="en-US" w:eastAsia="zh-CN"/>
        </w:rPr>
        <w:t>经营范围</w:t>
      </w:r>
      <w:r>
        <w:rPr>
          <w:rFonts w:hint="eastAsia"/>
          <w:highlight w:val="none"/>
          <w:lang w:val="en-US" w:eastAsia="zh-CN"/>
        </w:rPr>
        <w:t>包括</w:t>
      </w:r>
      <w:r>
        <w:rPr>
          <w:rFonts w:hint="default"/>
          <w:highlight w:val="none"/>
          <w:lang w:val="en-US" w:eastAsia="zh-CN"/>
        </w:rPr>
        <w:t>：道路货物运输（不含危险货物）（依法须经批准的项目，经相关部门批准后方可开展经营活动，具体经营项目以相关部门批准或许可证为准）。一般项目：建筑材料销售；建筑装饰材料销售；建筑砌块销售；建筑砌块制造；水泥制品销售；水泥制品制造；矿物洗选加工；砼结构构件销售；砼结构构件制造；机械设备租赁；普通机械设备安装服务；建筑材料生产专用机械制造；保温材料销售；建筑用石加工；电线、电缆经营（除依法须经批准的项目外，凭营业执照依法自主开展经营活动）。</w:t>
      </w:r>
    </w:p>
    <w:p w14:paraId="4B1423C4">
      <w:pPr>
        <w:bidi w:val="0"/>
        <w:rPr>
          <w:rFonts w:hint="eastAsia"/>
          <w:highlight w:val="none"/>
        </w:rPr>
      </w:pPr>
      <w:r>
        <w:rPr>
          <w:rFonts w:hint="eastAsia"/>
          <w:highlight w:val="none"/>
          <w:lang w:val="en-US" w:eastAsia="zh-CN"/>
        </w:rPr>
        <w:t>预拌混凝土专业承包不分等级，</w:t>
      </w:r>
      <w:r>
        <w:rPr>
          <w:rFonts w:hint="eastAsia"/>
          <w:highlight w:val="none"/>
        </w:rPr>
        <w:t>证书编号</w:t>
      </w:r>
      <w:r>
        <w:rPr>
          <w:rFonts w:hint="eastAsia"/>
          <w:highlight w:val="none"/>
          <w:lang w:val="en-US" w:eastAsia="zh-CN"/>
        </w:rPr>
        <w:t>D337282203，发证机关为烟台市行政审批服务局（福山区02），</w:t>
      </w:r>
      <w:r>
        <w:rPr>
          <w:rFonts w:hint="eastAsia"/>
          <w:highlight w:val="none"/>
        </w:rPr>
        <w:t>发证日期</w:t>
      </w:r>
      <w:r>
        <w:rPr>
          <w:rFonts w:hint="eastAsia"/>
          <w:highlight w:val="none"/>
          <w:lang w:eastAsia="zh-CN"/>
        </w:rPr>
        <w:t>为</w:t>
      </w:r>
      <w:r>
        <w:rPr>
          <w:rFonts w:hint="eastAsia"/>
          <w:highlight w:val="none"/>
          <w:lang w:val="en-US" w:eastAsia="zh-CN"/>
        </w:rPr>
        <w:t>2020年11月27日，</w:t>
      </w:r>
      <w:r>
        <w:rPr>
          <w:rFonts w:hint="eastAsia"/>
          <w:highlight w:val="none"/>
        </w:rPr>
        <w:t>有效期至</w:t>
      </w:r>
      <w:r>
        <w:rPr>
          <w:rFonts w:hint="eastAsia"/>
          <w:highlight w:val="none"/>
          <w:lang w:val="en-US" w:eastAsia="zh-CN"/>
        </w:rPr>
        <w:t>2025年11月27日</w:t>
      </w:r>
      <w:r>
        <w:rPr>
          <w:rFonts w:hint="eastAsia"/>
          <w:highlight w:val="none"/>
        </w:rPr>
        <w:t>。</w:t>
      </w:r>
    </w:p>
    <w:p w14:paraId="45BD5D90">
      <w:pPr>
        <w:pStyle w:val="5"/>
        <w:pageBreakBefore w:val="0"/>
        <w:numPr>
          <w:ilvl w:val="0"/>
          <w:numId w:val="0"/>
        </w:numPr>
        <w:kinsoku/>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highlight w:val="none"/>
          <w:lang w:val="en-US" w:eastAsia="zh-CN"/>
        </w:rPr>
        <w:t>5.劳务分包单位</w:t>
      </w:r>
      <w:r>
        <w:rPr>
          <w:rFonts w:hint="eastAsia" w:ascii="仿宋_GB2312" w:hAnsi="仿宋_GB2312" w:eastAsia="仿宋_GB2312" w:cs="仿宋_GB2312"/>
          <w:b/>
          <w:bCs/>
          <w:color w:val="000000"/>
          <w:kern w:val="2"/>
          <w:sz w:val="32"/>
          <w:szCs w:val="32"/>
          <w:highlight w:val="none"/>
          <w:lang w:val="en-US" w:eastAsia="zh-CN" w:bidi="ar-SA"/>
        </w:rPr>
        <w:t>烟台</w:t>
      </w:r>
      <w:r>
        <w:rPr>
          <w:rFonts w:hint="eastAsia" w:ascii="仿宋_GB2312" w:hAnsi="仿宋_GB2312" w:cs="仿宋_GB2312"/>
          <w:b/>
          <w:bCs/>
          <w:color w:val="000000"/>
          <w:kern w:val="2"/>
          <w:sz w:val="32"/>
          <w:szCs w:val="32"/>
          <w:highlight w:val="none"/>
          <w:lang w:val="en-US" w:eastAsia="zh-CN" w:bidi="ar-SA"/>
        </w:rPr>
        <w:t>昌宏建筑</w:t>
      </w:r>
      <w:r>
        <w:rPr>
          <w:rFonts w:hint="eastAsia" w:ascii="仿宋_GB2312" w:hAnsi="仿宋_GB2312" w:eastAsia="仿宋_GB2312" w:cs="仿宋_GB2312"/>
          <w:b/>
          <w:bCs/>
          <w:color w:val="000000"/>
          <w:kern w:val="2"/>
          <w:sz w:val="32"/>
          <w:szCs w:val="32"/>
          <w:highlight w:val="none"/>
          <w:lang w:val="en-US" w:eastAsia="zh-CN" w:bidi="ar-SA"/>
        </w:rPr>
        <w:t>劳务有限公司（以下简称昌宏</w:t>
      </w:r>
      <w:r>
        <w:rPr>
          <w:rFonts w:hint="eastAsia" w:ascii="仿宋_GB2312" w:hAnsi="仿宋_GB2312" w:cs="仿宋_GB2312"/>
          <w:b/>
          <w:bCs/>
          <w:color w:val="000000"/>
          <w:kern w:val="2"/>
          <w:sz w:val="32"/>
          <w:szCs w:val="32"/>
          <w:highlight w:val="none"/>
          <w:lang w:val="en-US" w:eastAsia="zh-CN" w:bidi="ar-SA"/>
        </w:rPr>
        <w:t>劳务</w:t>
      </w:r>
      <w:r>
        <w:rPr>
          <w:rFonts w:hint="eastAsia" w:ascii="仿宋_GB2312" w:hAnsi="仿宋_GB2312" w:eastAsia="仿宋_GB2312" w:cs="仿宋_GB2312"/>
          <w:b/>
          <w:bCs/>
          <w:color w:val="000000"/>
          <w:kern w:val="2"/>
          <w:sz w:val="32"/>
          <w:szCs w:val="32"/>
          <w:highlight w:val="none"/>
          <w:lang w:val="en-US" w:eastAsia="zh-CN" w:bidi="ar-SA"/>
        </w:rPr>
        <w:t>）</w:t>
      </w:r>
    </w:p>
    <w:p w14:paraId="0A736895">
      <w:pPr>
        <w:bidi w:val="0"/>
        <w:rPr>
          <w:rFonts w:hint="eastAsia" w:ascii="仿宋_GB2312" w:hAnsi="仿宋_GB2312" w:eastAsia="仿宋_GB2312" w:cs="仿宋_GB2312"/>
          <w:color w:val="000000"/>
          <w:kern w:val="2"/>
          <w:szCs w:val="32"/>
          <w:highlight w:val="none"/>
          <w:lang w:val="en-US" w:eastAsia="zh-CN" w:bidi="ar-SA"/>
        </w:rPr>
      </w:pPr>
      <w:r>
        <w:rPr>
          <w:rFonts w:hint="eastAsia"/>
          <w:highlight w:val="none"/>
          <w:lang w:val="en-US" w:eastAsia="zh-CN"/>
        </w:rPr>
        <w:t>成立于2019年12月31日，法定代表人李</w:t>
      </w:r>
      <w:r>
        <w:rPr>
          <w:rFonts w:hint="eastAsia" w:ascii="仿宋_GB2312" w:hAnsi="仿宋_GB2312" w:eastAsia="仿宋_GB2312" w:cs="仿宋_GB2312"/>
          <w:highlight w:val="none"/>
          <w:lang w:val="en-US" w:eastAsia="zh-CN"/>
        </w:rPr>
        <w:t>**</w:t>
      </w:r>
      <w:r>
        <w:rPr>
          <w:rFonts w:hint="eastAsia"/>
          <w:highlight w:val="none"/>
          <w:lang w:val="en-US" w:eastAsia="zh-CN"/>
        </w:rPr>
        <w:t>，企业类型为有限责任公司(自然人投资或控股)，住所地为山东省烟台市芝罘区德汇路99号1301室，统一社会信用代码91370602MA3RBCGM16，注册资本100万元，核准日期2019年12月31日，登记机关为烟台市芝罘区市场监督管理局。经营范围包括：建筑劳务分包；室内外装饰装修；土石方工程；内外墙粉刷；园林绿化工程；水电暖安装；建筑材料、装饰材料、保温材料的批发、零售；建筑工程；园林景观工程；钢结构工程；防水保温工程；水利工程（依法须经批准的项目，经相关部门批准后方可开展经营活动）。</w:t>
      </w:r>
    </w:p>
    <w:p w14:paraId="5C02746D">
      <w:pPr>
        <w:pStyle w:val="5"/>
        <w:ind w:left="0" w:leftChars="0" w:firstLine="643" w:firstLineChars="200"/>
        <w:outlineLvl w:val="1"/>
        <w:rPr>
          <w:rFonts w:hint="eastAsia"/>
          <w:highlight w:val="none"/>
          <w:lang w:val="en-US" w:eastAsia="zh-CN"/>
        </w:rPr>
      </w:pPr>
      <w:bookmarkStart w:id="34" w:name="_Toc13411"/>
      <w:r>
        <w:rPr>
          <w:rFonts w:hint="eastAsia"/>
          <w:highlight w:val="none"/>
          <w:lang w:val="en-US" w:eastAsia="zh-CN"/>
        </w:rPr>
        <w:t>6.监理单位</w:t>
      </w:r>
      <w:bookmarkStart w:id="35" w:name="_Toc30351"/>
      <w:bookmarkStart w:id="36" w:name="_Toc1342"/>
      <w:bookmarkStart w:id="37" w:name="_Toc20852"/>
      <w:r>
        <w:rPr>
          <w:rFonts w:hint="eastAsia"/>
          <w:highlight w:val="none"/>
          <w:lang w:val="en-US" w:eastAsia="zh-CN"/>
        </w:rPr>
        <w:t>山东同绩工程项目管理有限公司（以下简称同绩工程）</w:t>
      </w:r>
      <w:bookmarkEnd w:id="34"/>
      <w:bookmarkEnd w:id="35"/>
      <w:bookmarkEnd w:id="36"/>
      <w:bookmarkEnd w:id="37"/>
    </w:p>
    <w:p w14:paraId="4A81EA8E">
      <w:pPr>
        <w:bidi w:val="0"/>
        <w:rPr>
          <w:rFonts w:hint="eastAsia"/>
          <w:highlight w:val="none"/>
          <w:lang w:val="en-US" w:eastAsia="zh-CN"/>
        </w:rPr>
      </w:pPr>
      <w:r>
        <w:rPr>
          <w:rFonts w:hint="eastAsia"/>
          <w:highlight w:val="none"/>
          <w:lang w:val="en-US" w:eastAsia="zh-CN"/>
        </w:rPr>
        <w:t>成立于1993年02月18日，法定代表人任</w:t>
      </w:r>
      <w:r>
        <w:rPr>
          <w:rFonts w:hint="eastAsia" w:ascii="仿宋_GB2312" w:hAnsi="仿宋_GB2312" w:eastAsia="仿宋_GB2312" w:cs="仿宋_GB2312"/>
          <w:highlight w:val="none"/>
          <w:lang w:val="en-US" w:eastAsia="zh-CN"/>
        </w:rPr>
        <w:t>**</w:t>
      </w:r>
      <w:r>
        <w:rPr>
          <w:rFonts w:hint="eastAsia"/>
          <w:highlight w:val="none"/>
          <w:lang w:val="en-US" w:eastAsia="zh-CN"/>
        </w:rPr>
        <w:t>，企业类型为有限责任公司（自然人投资或控股），住所地为山东省烟台市芝罘区二马路155号，</w:t>
      </w:r>
      <w:r>
        <w:rPr>
          <w:rFonts w:hint="eastAsia"/>
          <w:highlight w:val="none"/>
          <w:lang w:val="zh-TW" w:eastAsia="zh-TW"/>
        </w:rPr>
        <w:t>社会信用代码</w:t>
      </w:r>
      <w:r>
        <w:rPr>
          <w:rFonts w:hint="eastAsia"/>
          <w:highlight w:val="none"/>
          <w:lang w:val="en-US" w:eastAsia="zh-CN"/>
        </w:rPr>
        <w:t>91370602706323418J，注册资本300万元，登记机关为烟台市芝罘区行政审批服务局。经营范围为工程监理服务，建设工程项目管理，建设工程技术咨询，市政公用工程监理，工程造价咨询（依法须经批准的项目，经相关部门批准后方可开展经营活动）。</w:t>
      </w:r>
    </w:p>
    <w:p w14:paraId="44B6A378">
      <w:pPr>
        <w:bidi w:val="0"/>
        <w:rPr>
          <w:rFonts w:hint="eastAsia"/>
          <w:highlight w:val="none"/>
        </w:rPr>
      </w:pPr>
      <w:r>
        <w:rPr>
          <w:rFonts w:hint="eastAsia"/>
          <w:highlight w:val="none"/>
        </w:rPr>
        <w:t>房屋建筑工程监理甲级</w:t>
      </w:r>
      <w:r>
        <w:rPr>
          <w:rFonts w:hint="eastAsia"/>
          <w:highlight w:val="none"/>
          <w:lang w:eastAsia="zh-CN"/>
        </w:rPr>
        <w:t>，</w:t>
      </w:r>
      <w:r>
        <w:rPr>
          <w:rFonts w:hint="eastAsia"/>
          <w:highlight w:val="none"/>
        </w:rPr>
        <w:t>市政公用工程监理甲级</w:t>
      </w:r>
      <w:r>
        <w:rPr>
          <w:rFonts w:hint="eastAsia"/>
          <w:highlight w:val="none"/>
          <w:lang w:eastAsia="zh-CN"/>
        </w:rPr>
        <w:t>，</w:t>
      </w:r>
      <w:r>
        <w:rPr>
          <w:rFonts w:hint="eastAsia"/>
          <w:highlight w:val="none"/>
        </w:rPr>
        <w:t>证书编号E137009049-4/3</w:t>
      </w:r>
      <w:r>
        <w:rPr>
          <w:rFonts w:hint="eastAsia"/>
          <w:highlight w:val="none"/>
          <w:lang w:eastAsia="zh-CN"/>
        </w:rPr>
        <w:t>，</w:t>
      </w:r>
      <w:r>
        <w:rPr>
          <w:rFonts w:hint="eastAsia"/>
          <w:highlight w:val="none"/>
          <w:lang w:val="en-US" w:eastAsia="zh-CN"/>
        </w:rPr>
        <w:t>发证机关为中华人民共和国住房和城乡建设部，</w:t>
      </w:r>
      <w:r>
        <w:rPr>
          <w:rFonts w:hint="eastAsia"/>
          <w:highlight w:val="none"/>
        </w:rPr>
        <w:t>发证日期</w:t>
      </w:r>
      <w:r>
        <w:rPr>
          <w:rFonts w:hint="eastAsia"/>
          <w:highlight w:val="none"/>
          <w:lang w:eastAsia="zh-CN"/>
        </w:rPr>
        <w:t>为</w:t>
      </w:r>
      <w:r>
        <w:rPr>
          <w:rFonts w:hint="eastAsia"/>
          <w:highlight w:val="none"/>
        </w:rPr>
        <w:t>20</w:t>
      </w:r>
      <w:r>
        <w:rPr>
          <w:rFonts w:hint="eastAsia"/>
          <w:highlight w:val="none"/>
          <w:lang w:val="en-US" w:eastAsia="zh-CN"/>
        </w:rPr>
        <w:t>24</w:t>
      </w:r>
      <w:r>
        <w:rPr>
          <w:rFonts w:hint="eastAsia"/>
          <w:highlight w:val="none"/>
        </w:rPr>
        <w:t>年</w:t>
      </w:r>
      <w:r>
        <w:rPr>
          <w:rFonts w:hint="eastAsia"/>
          <w:highlight w:val="none"/>
          <w:lang w:val="en-US" w:eastAsia="zh-CN"/>
        </w:rPr>
        <w:t>7</w:t>
      </w:r>
      <w:r>
        <w:rPr>
          <w:rFonts w:hint="eastAsia"/>
          <w:highlight w:val="none"/>
        </w:rPr>
        <w:t>月2</w:t>
      </w:r>
      <w:r>
        <w:rPr>
          <w:rFonts w:hint="eastAsia"/>
          <w:highlight w:val="none"/>
          <w:lang w:val="en-US" w:eastAsia="zh-CN"/>
        </w:rPr>
        <w:t>4</w:t>
      </w:r>
      <w:r>
        <w:rPr>
          <w:rFonts w:hint="eastAsia"/>
          <w:highlight w:val="none"/>
        </w:rPr>
        <w:t>日</w:t>
      </w:r>
      <w:r>
        <w:rPr>
          <w:rFonts w:hint="eastAsia"/>
          <w:highlight w:val="none"/>
          <w:lang w:eastAsia="zh-CN"/>
        </w:rPr>
        <w:t>，</w:t>
      </w:r>
      <w:r>
        <w:rPr>
          <w:rFonts w:hint="eastAsia"/>
          <w:highlight w:val="none"/>
        </w:rPr>
        <w:t>有效期至2029年7月24日。</w:t>
      </w:r>
    </w:p>
    <w:p w14:paraId="57C884A2">
      <w:pPr>
        <w:pStyle w:val="3"/>
        <w:numPr>
          <w:ilvl w:val="0"/>
          <w:numId w:val="0"/>
        </w:numPr>
        <w:bidi w:val="0"/>
        <w:ind w:firstLine="643" w:firstLineChars="200"/>
        <w:rPr>
          <w:rFonts w:hint="eastAsia"/>
          <w:highlight w:val="none"/>
          <w:lang w:val="en-US" w:eastAsia="zh-CN"/>
        </w:rPr>
      </w:pPr>
      <w:bookmarkStart w:id="38" w:name="_Toc28482"/>
      <w:bookmarkStart w:id="39" w:name="_Toc21309"/>
      <w:bookmarkStart w:id="40" w:name="_Toc6850"/>
      <w:bookmarkStart w:id="41" w:name="_Toc15168"/>
      <w:bookmarkStart w:id="42" w:name="_Toc19785"/>
      <w:bookmarkStart w:id="43" w:name="_Toc2785"/>
      <w:bookmarkStart w:id="44" w:name="_Toc11261"/>
      <w:bookmarkStart w:id="45" w:name="_Toc5767"/>
      <w:r>
        <w:rPr>
          <w:rFonts w:hint="eastAsia" w:ascii="Times New Roman" w:hAnsi="Times New Roman" w:eastAsia="楷体_GB2312" w:cs="楷体_GB2312"/>
          <w:b/>
          <w:kern w:val="0"/>
          <w:sz w:val="32"/>
          <w:szCs w:val="21"/>
          <w:highlight w:val="none"/>
          <w:lang w:val="en-US" w:eastAsia="zh-CN" w:bidi="ar-SA"/>
        </w:rPr>
        <w:t>（三）</w:t>
      </w:r>
      <w:r>
        <w:rPr>
          <w:rFonts w:hint="eastAsia"/>
          <w:highlight w:val="none"/>
          <w:lang w:val="en-US" w:eastAsia="zh-CN"/>
        </w:rPr>
        <w:t>合同签订情况</w:t>
      </w:r>
      <w:bookmarkEnd w:id="38"/>
      <w:bookmarkEnd w:id="39"/>
      <w:bookmarkEnd w:id="40"/>
      <w:bookmarkEnd w:id="41"/>
      <w:bookmarkEnd w:id="42"/>
      <w:bookmarkEnd w:id="43"/>
      <w:bookmarkEnd w:id="44"/>
      <w:bookmarkEnd w:id="45"/>
    </w:p>
    <w:p w14:paraId="2FCBB7FA">
      <w:pPr>
        <w:bidi w:val="0"/>
        <w:rPr>
          <w:rFonts w:hint="default"/>
          <w:highlight w:val="none"/>
          <w:lang w:val="en-US" w:eastAsia="zh-CN"/>
        </w:rPr>
      </w:pPr>
      <w:r>
        <w:rPr>
          <w:rFonts w:hint="default"/>
          <w:highlight w:val="none"/>
          <w:lang w:val="en-US" w:eastAsia="zh-CN"/>
        </w:rPr>
        <w:t>森霆置业</w:t>
      </w:r>
      <w:r>
        <w:rPr>
          <w:rFonts w:hint="eastAsia"/>
          <w:highlight w:val="none"/>
          <w:lang w:val="en-US" w:eastAsia="zh-CN"/>
        </w:rPr>
        <w:t>已取得建筑工程施工许可证，编号为370613202206230101，发证单位为莱山区行政审批服务局，发证日期为2022年6月23日。</w:t>
      </w:r>
    </w:p>
    <w:p w14:paraId="61231BCE">
      <w:pPr>
        <w:pStyle w:val="5"/>
        <w:bidi w:val="0"/>
        <w:rPr>
          <w:rFonts w:hint="default"/>
          <w:highlight w:val="none"/>
          <w:lang w:val="en-US" w:eastAsia="zh-CN"/>
        </w:rPr>
      </w:pPr>
      <w:r>
        <w:rPr>
          <w:rFonts w:hint="default"/>
          <w:highlight w:val="none"/>
          <w:lang w:val="en-US" w:eastAsia="zh-CN"/>
        </w:rPr>
        <w:t>1</w:t>
      </w:r>
      <w:r>
        <w:rPr>
          <w:rFonts w:hint="eastAsia"/>
          <w:highlight w:val="none"/>
          <w:lang w:val="en-US" w:eastAsia="zh-CN"/>
        </w:rPr>
        <w:t>.</w:t>
      </w:r>
      <w:r>
        <w:rPr>
          <w:rFonts w:hint="default"/>
          <w:highlight w:val="none"/>
          <w:lang w:val="en-US" w:eastAsia="zh-CN"/>
        </w:rPr>
        <w:t>施工总承包合同</w:t>
      </w:r>
    </w:p>
    <w:p w14:paraId="45C15666">
      <w:pPr>
        <w:bidi w:val="0"/>
        <w:rPr>
          <w:rFonts w:hint="default"/>
          <w:highlight w:val="none"/>
          <w:lang w:val="en-US" w:eastAsia="zh-CN"/>
        </w:rPr>
      </w:pPr>
      <w:r>
        <w:rPr>
          <w:rFonts w:hint="default"/>
          <w:highlight w:val="none"/>
          <w:lang w:val="en-US" w:eastAsia="zh-CN"/>
        </w:rPr>
        <w:t>2022年9月8日，森霆置业与泰鸿置业签订《建设工程施工合同》</w:t>
      </w:r>
      <w:r>
        <w:rPr>
          <w:rFonts w:hint="eastAsia"/>
          <w:highlight w:val="none"/>
          <w:lang w:val="en-US" w:eastAsia="zh-CN"/>
        </w:rPr>
        <w:t>，合同编号STZY-HT-2022-002。</w:t>
      </w:r>
      <w:r>
        <w:rPr>
          <w:rFonts w:hint="default"/>
          <w:highlight w:val="none"/>
          <w:lang w:val="en-US" w:eastAsia="zh-CN"/>
        </w:rPr>
        <w:t>计划开工日期2022年05月22日（以发包单位发出的开工令为准），计划竣工日期2024年12月27日（以发包单位确定的验收合格日期为准）。</w:t>
      </w:r>
    </w:p>
    <w:p w14:paraId="47854623">
      <w:pPr>
        <w:bidi w:val="0"/>
        <w:rPr>
          <w:rFonts w:hint="default" w:ascii="仿宋_GB2312" w:hAnsi="仿宋_GB2312" w:eastAsia="仿宋_GB2312" w:cs="仿宋_GB2312"/>
          <w:i w:val="0"/>
          <w:iCs w:val="0"/>
          <w:caps w:val="0"/>
          <w:color w:val="auto"/>
          <w:spacing w:val="0"/>
          <w:szCs w:val="30"/>
          <w:highlight w:val="none"/>
          <w:shd w:val="clear" w:color="auto" w:fill="FFFFFF"/>
          <w:lang w:val="en-US" w:eastAsia="zh-CN"/>
        </w:rPr>
      </w:pPr>
      <w:r>
        <w:rPr>
          <w:rFonts w:hint="eastAsia"/>
          <w:highlight w:val="none"/>
          <w:lang w:val="en-US" w:eastAsia="zh-CN"/>
        </w:rPr>
        <w:t>双方在合同中约定了安全文明施工与环境保护内容，明确了双方的安全管理职责。双方在合同中约定的工程内容为森霆春晓（东宝地块）项目主体建筑工程及地下车库施工总承包工程，不包括大区景观工程施工。</w:t>
      </w:r>
    </w:p>
    <w:p w14:paraId="25F36D12">
      <w:pPr>
        <w:pStyle w:val="5"/>
        <w:bidi w:val="0"/>
        <w:rPr>
          <w:rFonts w:hint="eastAsia"/>
          <w:highlight w:val="none"/>
          <w:lang w:val="en-US" w:eastAsia="zh-CN"/>
        </w:rPr>
      </w:pPr>
      <w:r>
        <w:rPr>
          <w:rFonts w:hint="eastAsia"/>
          <w:highlight w:val="none"/>
          <w:lang w:val="en-US" w:eastAsia="zh-CN"/>
        </w:rPr>
        <w:t>2.专业分包合同</w:t>
      </w:r>
    </w:p>
    <w:p w14:paraId="68EE9D73">
      <w:pPr>
        <w:bidi w:val="0"/>
        <w:rPr>
          <w:rFonts w:hint="eastAsia"/>
          <w:highlight w:val="none"/>
          <w:lang w:val="en-US" w:eastAsia="zh-CN"/>
        </w:rPr>
      </w:pPr>
      <w:r>
        <w:rPr>
          <w:rFonts w:hint="eastAsia"/>
          <w:highlight w:val="none"/>
          <w:lang w:val="en-US" w:eastAsia="zh-CN"/>
        </w:rPr>
        <w:t>2023年12月5日森霆置业与双子建设签订《森霆春晓项目大区景观工程施工合同》，合同编号STZY-HT-GC-2023-028。工程名称为森霆春晓项目大区景观工程，合同约定工期285个日历天，开工日期2023年10月20日（以甲方发出开工令为准），预计于2024年7月30日竣工。</w:t>
      </w:r>
    </w:p>
    <w:p w14:paraId="45179B25">
      <w:pPr>
        <w:bidi w:val="0"/>
        <w:rPr>
          <w:rFonts w:hint="eastAsia"/>
          <w:highlight w:val="none"/>
          <w:lang w:val="en-US" w:eastAsia="zh-CN"/>
        </w:rPr>
      </w:pPr>
      <w:r>
        <w:rPr>
          <w:rFonts w:hint="eastAsia"/>
          <w:highlight w:val="none"/>
          <w:lang w:val="en-US" w:eastAsia="zh-CN"/>
        </w:rPr>
        <w:t>双方在合同内约定了安全生产有关管理规定，明确了双方安全管理职责。</w:t>
      </w:r>
    </w:p>
    <w:p w14:paraId="3BC81E2C">
      <w:pPr>
        <w:bidi w:val="0"/>
        <w:rPr>
          <w:rFonts w:hint="eastAsia"/>
          <w:highlight w:val="none"/>
          <w:lang w:val="en-US" w:eastAsia="zh-CN"/>
        </w:rPr>
      </w:pPr>
      <w:r>
        <w:rPr>
          <w:rFonts w:hint="eastAsia"/>
          <w:highlight w:val="none"/>
          <w:lang w:val="en-US" w:eastAsia="zh-CN"/>
        </w:rPr>
        <w:t>2024年3月19日，双子建设与建科建设签订了《烟台市预拌混凝土供需合同》，合同编号sdjkhnt第20240319号，工程名称为森霆春晓项目大区景观工程，工程时间为2024年3月-2025年4月。</w:t>
      </w:r>
    </w:p>
    <w:p w14:paraId="0F5F7EC6">
      <w:pPr>
        <w:bidi w:val="0"/>
        <w:rPr>
          <w:rFonts w:hint="eastAsia"/>
          <w:highlight w:val="none"/>
          <w:lang w:val="en-US" w:eastAsia="zh-CN"/>
        </w:rPr>
      </w:pPr>
      <w:r>
        <w:rPr>
          <w:rFonts w:hint="eastAsia"/>
          <w:highlight w:val="none"/>
          <w:lang w:val="en-US" w:eastAsia="zh-CN"/>
        </w:rPr>
        <w:t>双方在合同内约定了安全与文明施工，明确了双方安全管理职责。</w:t>
      </w:r>
    </w:p>
    <w:p w14:paraId="17CF9205">
      <w:pPr>
        <w:bidi w:val="0"/>
        <w:rPr>
          <w:rFonts w:hint="default"/>
          <w:highlight w:val="none"/>
          <w:lang w:val="en-US" w:eastAsia="zh-CN"/>
        </w:rPr>
      </w:pPr>
      <w:r>
        <w:rPr>
          <w:rFonts w:hint="eastAsia"/>
          <w:highlight w:val="none"/>
          <w:lang w:val="en-US" w:eastAsia="zh-CN"/>
        </w:rPr>
        <w:t>双子建设现场施工人员为昌宏劳务派遣。</w:t>
      </w:r>
    </w:p>
    <w:p w14:paraId="5C628CB1">
      <w:pPr>
        <w:pStyle w:val="5"/>
        <w:bidi w:val="0"/>
        <w:rPr>
          <w:rFonts w:hint="eastAsia"/>
          <w:highlight w:val="none"/>
          <w:lang w:val="en-US" w:eastAsia="zh-CN"/>
        </w:rPr>
      </w:pPr>
      <w:r>
        <w:rPr>
          <w:rFonts w:hint="eastAsia"/>
          <w:highlight w:val="none"/>
          <w:lang w:val="en-US" w:eastAsia="zh-CN"/>
        </w:rPr>
        <w:t>3.监理合同</w:t>
      </w:r>
    </w:p>
    <w:p w14:paraId="7DE0FDAC">
      <w:pPr>
        <w:keepNext w:val="0"/>
        <w:keepLines w:val="0"/>
        <w:pageBreakBefore w:val="0"/>
        <w:widowControl w:val="0"/>
        <w:kinsoku/>
        <w:wordWrap/>
        <w:overflowPunct/>
        <w:topLinePunct w:val="0"/>
        <w:autoSpaceDE/>
        <w:autoSpaceDN/>
        <w:bidi w:val="0"/>
        <w:adjustRightInd/>
        <w:snapToGrid/>
        <w:textAlignment w:val="auto"/>
        <w:rPr>
          <w:rFonts w:hint="eastAsia"/>
          <w:highlight w:val="none"/>
        </w:rPr>
      </w:pPr>
      <w:r>
        <w:rPr>
          <w:rFonts w:hint="eastAsia"/>
          <w:highlight w:val="none"/>
        </w:rPr>
        <w:t>2022年5月</w:t>
      </w:r>
      <w:r>
        <w:rPr>
          <w:rFonts w:hint="eastAsia"/>
          <w:highlight w:val="none"/>
          <w:lang w:val="en-US" w:eastAsia="zh-CN"/>
        </w:rPr>
        <w:t>5</w:t>
      </w:r>
      <w:r>
        <w:rPr>
          <w:rFonts w:hint="eastAsia"/>
          <w:highlight w:val="none"/>
        </w:rPr>
        <w:t>日，森霆置业与</w:t>
      </w:r>
      <w:r>
        <w:rPr>
          <w:rFonts w:hint="eastAsia"/>
          <w:highlight w:val="none"/>
          <w:lang w:val="en-US" w:eastAsia="zh-CN"/>
        </w:rPr>
        <w:t>同绩工程</w:t>
      </w:r>
      <w:r>
        <w:rPr>
          <w:rFonts w:hint="eastAsia"/>
          <w:highlight w:val="none"/>
        </w:rPr>
        <w:t>签订《</w:t>
      </w:r>
      <w:r>
        <w:rPr>
          <w:rFonts w:hint="eastAsia"/>
          <w:highlight w:val="none"/>
          <w:lang w:val="en-US" w:eastAsia="zh-CN"/>
        </w:rPr>
        <w:t>东宝地块项目建设工程委托监理及人防</w:t>
      </w:r>
      <w:r>
        <w:rPr>
          <w:rFonts w:hint="eastAsia"/>
          <w:highlight w:val="none"/>
        </w:rPr>
        <w:t>监理合同》，</w:t>
      </w:r>
      <w:r>
        <w:rPr>
          <w:rFonts w:hint="eastAsia"/>
          <w:highlight w:val="none"/>
          <w:lang w:val="en-US" w:eastAsia="zh-CN"/>
        </w:rPr>
        <w:t>合同编号</w:t>
      </w:r>
      <w:r>
        <w:rPr>
          <w:rFonts w:hint="eastAsia"/>
          <w:highlight w:val="none"/>
        </w:rPr>
        <w:t>STZY-HT-2022-00</w:t>
      </w:r>
      <w:r>
        <w:rPr>
          <w:rFonts w:hint="eastAsia"/>
          <w:highlight w:val="none"/>
          <w:lang w:val="en-US" w:eastAsia="zh-CN"/>
        </w:rPr>
        <w:t>3</w:t>
      </w:r>
      <w:r>
        <w:rPr>
          <w:rFonts w:hint="eastAsia"/>
          <w:highlight w:val="none"/>
        </w:rPr>
        <w:t>。工程名称</w:t>
      </w:r>
      <w:r>
        <w:rPr>
          <w:rFonts w:hint="eastAsia"/>
          <w:highlight w:val="none"/>
          <w:lang w:eastAsia="zh-CN"/>
        </w:rPr>
        <w:t>为</w:t>
      </w:r>
      <w:r>
        <w:rPr>
          <w:rFonts w:hint="eastAsia"/>
          <w:highlight w:val="none"/>
        </w:rPr>
        <w:t>东宝地块项目</w:t>
      </w:r>
      <w:r>
        <w:rPr>
          <w:rFonts w:hint="eastAsia"/>
          <w:highlight w:val="none"/>
          <w:lang w:val="en-US" w:eastAsia="zh-CN"/>
        </w:rPr>
        <w:t>监理及人防监理工程，</w:t>
      </w:r>
      <w:r>
        <w:rPr>
          <w:rFonts w:hint="eastAsia"/>
          <w:highlight w:val="none"/>
        </w:rPr>
        <w:t>监理</w:t>
      </w:r>
      <w:r>
        <w:rPr>
          <w:rFonts w:hint="eastAsia"/>
          <w:highlight w:val="none"/>
          <w:lang w:val="en-US" w:eastAsia="zh-CN"/>
        </w:rPr>
        <w:t>服务期</w:t>
      </w:r>
      <w:r>
        <w:rPr>
          <w:rFonts w:hint="eastAsia"/>
          <w:highlight w:val="none"/>
        </w:rPr>
        <w:t>东宝地块项目</w:t>
      </w:r>
      <w:r>
        <w:rPr>
          <w:rFonts w:hint="eastAsia"/>
          <w:highlight w:val="none"/>
          <w:lang w:val="en-US" w:eastAsia="zh-CN"/>
        </w:rPr>
        <w:t>监理及人防监理服务期为自本工程开工之日至工程竣工之日止，暂定总工期27个月（具体以委托人发出的开工令为准）</w:t>
      </w:r>
      <w:r>
        <w:rPr>
          <w:rFonts w:hint="eastAsia"/>
          <w:highlight w:val="none"/>
        </w:rPr>
        <w:t>。</w:t>
      </w:r>
    </w:p>
    <w:p w14:paraId="2E97F5D0">
      <w:pPr>
        <w:bidi w:val="0"/>
        <w:jc w:val="both"/>
        <w:rPr>
          <w:rFonts w:hint="eastAsia"/>
          <w:highlight w:val="none"/>
        </w:rPr>
      </w:pPr>
    </w:p>
    <w:p w14:paraId="17A64FD3">
      <w:pPr>
        <w:bidi w:val="0"/>
        <w:jc w:val="both"/>
        <w:rPr>
          <w:rFonts w:hint="eastAsia"/>
          <w:highlight w:val="none"/>
        </w:rPr>
      </w:pPr>
    </w:p>
    <w:p w14:paraId="50605CD0">
      <w:pPr>
        <w:bidi w:val="0"/>
        <w:jc w:val="both"/>
        <w:rPr>
          <w:rFonts w:hint="eastAsia"/>
          <w:highlight w:val="none"/>
          <w:lang w:eastAsia="zh-CN"/>
        </w:rPr>
      </w:pPr>
      <w:r>
        <w:rPr>
          <w:rFonts w:hint="eastAsia"/>
          <w:highlight w:val="none"/>
        </w:rPr>
        <w:t>监理范围包括但不限于本工程施工图范围内的土建、消防、人防工程施工</w:t>
      </w:r>
      <w:r>
        <w:rPr>
          <w:rFonts w:hint="eastAsia"/>
          <w:highlight w:val="none"/>
          <w:lang w:val="en-US" w:eastAsia="zh-CN"/>
        </w:rPr>
        <w:t>阶段监理（包括人防工程的建筑结构部分、</w:t>
      </w:r>
      <w:r>
        <w:rPr>
          <w:rFonts w:hint="eastAsia"/>
          <w:highlight w:val="none"/>
        </w:rPr>
        <w:t>消防系统、通风系统、强弱电及智能</w:t>
      </w:r>
      <w:r>
        <w:rPr>
          <w:rFonts w:hint="eastAsia"/>
          <w:highlight w:val="none"/>
          <w:lang w:val="en-US" w:eastAsia="zh-CN"/>
        </w:rPr>
        <w:t>系统、</w:t>
      </w:r>
      <w:r>
        <w:rPr>
          <w:rFonts w:hint="eastAsia"/>
          <w:highlight w:val="none"/>
        </w:rPr>
        <w:t>人防设备安装及调试</w:t>
      </w:r>
      <w:r>
        <w:rPr>
          <w:rFonts w:hint="eastAsia"/>
          <w:highlight w:val="none"/>
          <w:lang w:val="en-US" w:eastAsia="zh-CN"/>
        </w:rPr>
        <w:t>）</w:t>
      </w:r>
      <w:r>
        <w:rPr>
          <w:rFonts w:hint="eastAsia"/>
          <w:highlight w:val="none"/>
        </w:rPr>
        <w:t>、水电安装、智能化、室外附属</w:t>
      </w:r>
      <w:r>
        <w:rPr>
          <w:rFonts w:hint="eastAsia"/>
          <w:highlight w:val="none"/>
          <w:lang w:eastAsia="zh-CN"/>
        </w:rPr>
        <w:t>、</w:t>
      </w:r>
      <w:r>
        <w:rPr>
          <w:rFonts w:hint="eastAsia"/>
          <w:highlight w:val="none"/>
        </w:rPr>
        <w:t>园林绿化工程等项目以及实施中可能出现的设计修改及额外增加工程的全过程监理</w:t>
      </w:r>
      <w:r>
        <w:rPr>
          <w:rFonts w:hint="eastAsia"/>
          <w:highlight w:val="none"/>
          <w:lang w:eastAsia="zh-CN"/>
        </w:rPr>
        <w:t>。</w:t>
      </w:r>
      <w:r>
        <w:rPr>
          <w:rFonts w:hint="eastAsia"/>
          <w:highlight w:val="none"/>
        </w:rPr>
        <w:t>监理工作内容</w:t>
      </w:r>
      <w:r>
        <w:rPr>
          <w:rFonts w:hint="eastAsia"/>
          <w:highlight w:val="none"/>
          <w:lang w:eastAsia="zh-CN"/>
        </w:rPr>
        <w:t>为</w:t>
      </w:r>
      <w:r>
        <w:rPr>
          <w:rFonts w:hint="eastAsia"/>
          <w:highlight w:val="none"/>
          <w:lang w:val="en-US" w:eastAsia="zh-CN"/>
        </w:rPr>
        <w:t>负责</w:t>
      </w:r>
      <w:r>
        <w:rPr>
          <w:rFonts w:hint="eastAsia"/>
          <w:highlight w:val="none"/>
        </w:rPr>
        <w:t>本工程施工阶段及保修阶段</w:t>
      </w:r>
      <w:r>
        <w:rPr>
          <w:rFonts w:hint="eastAsia"/>
          <w:highlight w:val="none"/>
          <w:lang w:val="en-US" w:eastAsia="zh-CN"/>
        </w:rPr>
        <w:t>（</w:t>
      </w:r>
      <w:r>
        <w:rPr>
          <w:rFonts w:hint="eastAsia"/>
          <w:highlight w:val="none"/>
        </w:rPr>
        <w:t>包括施工过程的设计变更</w:t>
      </w:r>
      <w:r>
        <w:rPr>
          <w:rFonts w:hint="eastAsia"/>
          <w:highlight w:val="none"/>
          <w:lang w:eastAsia="zh-CN"/>
        </w:rPr>
        <w:t>）</w:t>
      </w:r>
      <w:r>
        <w:rPr>
          <w:rFonts w:hint="eastAsia"/>
          <w:highlight w:val="none"/>
        </w:rPr>
        <w:t>的全部内容的安全控制、</w:t>
      </w:r>
      <w:r>
        <w:rPr>
          <w:rFonts w:hint="eastAsia"/>
          <w:highlight w:val="none"/>
          <w:lang w:eastAsia="zh-CN"/>
        </w:rPr>
        <w:t>质量</w:t>
      </w:r>
      <w:r>
        <w:rPr>
          <w:rFonts w:hint="eastAsia"/>
          <w:highlight w:val="none"/>
        </w:rPr>
        <w:t>控制、进度控制、投资控制、合同管理、</w:t>
      </w:r>
      <w:r>
        <w:rPr>
          <w:rFonts w:hint="eastAsia"/>
          <w:highlight w:val="none"/>
          <w:lang w:eastAsia="zh-CN"/>
        </w:rPr>
        <w:t>信</w:t>
      </w:r>
      <w:r>
        <w:rPr>
          <w:rFonts w:hint="eastAsia"/>
          <w:highlight w:val="none"/>
        </w:rPr>
        <w:t>息管理、安全文明施工管理及全面组织委托人、监理人及第三方协调等监理工作</w:t>
      </w:r>
      <w:r>
        <w:rPr>
          <w:rFonts w:hint="eastAsia"/>
          <w:highlight w:val="none"/>
          <w:lang w:eastAsia="zh-CN"/>
        </w:rPr>
        <w:t>。</w:t>
      </w:r>
    </w:p>
    <w:p w14:paraId="4DF1CA4F">
      <w:pPr>
        <w:bidi w:val="0"/>
        <w:jc w:val="center"/>
        <w:rPr>
          <w:rFonts w:hint="eastAsia"/>
          <w:highlight w:val="none"/>
          <w:lang w:eastAsia="zh-CN"/>
        </w:rPr>
      </w:pPr>
      <w:r>
        <w:drawing>
          <wp:anchor distT="0" distB="0" distL="114300" distR="114300" simplePos="0" relativeHeight="251664384" behindDoc="0" locked="0" layoutInCell="1" allowOverlap="1">
            <wp:simplePos x="0" y="0"/>
            <wp:positionH relativeFrom="column">
              <wp:posOffset>-79375</wp:posOffset>
            </wp:positionH>
            <wp:positionV relativeFrom="paragraph">
              <wp:posOffset>265430</wp:posOffset>
            </wp:positionV>
            <wp:extent cx="5854700" cy="4198620"/>
            <wp:effectExtent l="0" t="0" r="12700" b="1143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5854700" cy="4198620"/>
                    </a:xfrm>
                    <a:prstGeom prst="rect">
                      <a:avLst/>
                    </a:prstGeom>
                    <a:noFill/>
                    <a:ln>
                      <a:noFill/>
                    </a:ln>
                  </pic:spPr>
                </pic:pic>
              </a:graphicData>
            </a:graphic>
          </wp:anchor>
        </w:drawing>
      </w:r>
      <w:r>
        <w:rPr>
          <w:rFonts w:hint="eastAsia"/>
          <w:highlight w:val="none"/>
          <w:lang w:val="en-US" w:eastAsia="zh-CN"/>
        </w:rPr>
        <w:t>图1 项目建设关系图</w:t>
      </w:r>
    </w:p>
    <w:p w14:paraId="02DB3AFA">
      <w:pPr>
        <w:pStyle w:val="3"/>
        <w:bidi w:val="0"/>
        <w:rPr>
          <w:rFonts w:hint="default"/>
          <w:highlight w:val="none"/>
          <w:lang w:val="en-US" w:eastAsia="zh-CN"/>
        </w:rPr>
      </w:pPr>
      <w:bookmarkStart w:id="46" w:name="_Toc29135"/>
      <w:bookmarkStart w:id="47" w:name="_Toc20133"/>
      <w:bookmarkStart w:id="48" w:name="_Toc5465"/>
      <w:bookmarkStart w:id="49" w:name="_Toc28466"/>
      <w:bookmarkStart w:id="50" w:name="_Toc9984"/>
      <w:bookmarkStart w:id="51" w:name="_Toc9002"/>
      <w:bookmarkStart w:id="52" w:name="_Toc18676"/>
      <w:bookmarkStart w:id="53" w:name="_Toc2719"/>
      <w:r>
        <w:rPr>
          <w:rFonts w:hint="eastAsia"/>
          <w:highlight w:val="none"/>
          <w:lang w:eastAsia="zh-CN"/>
        </w:rPr>
        <w:t>（</w:t>
      </w:r>
      <w:r>
        <w:rPr>
          <w:rFonts w:hint="eastAsia"/>
          <w:highlight w:val="none"/>
          <w:lang w:val="en-US" w:eastAsia="zh-CN"/>
        </w:rPr>
        <w:t>四</w:t>
      </w:r>
      <w:r>
        <w:rPr>
          <w:rFonts w:hint="eastAsia"/>
          <w:highlight w:val="none"/>
          <w:lang w:eastAsia="zh-CN"/>
        </w:rPr>
        <w:t>）</w:t>
      </w:r>
      <w:bookmarkEnd w:id="46"/>
      <w:bookmarkEnd w:id="47"/>
      <w:bookmarkEnd w:id="48"/>
      <w:bookmarkEnd w:id="49"/>
      <w:bookmarkEnd w:id="50"/>
      <w:bookmarkEnd w:id="51"/>
      <w:bookmarkEnd w:id="52"/>
      <w:r>
        <w:rPr>
          <w:rFonts w:hint="eastAsia"/>
          <w:strike w:val="0"/>
          <w:dstrike w:val="0"/>
          <w:color w:val="auto"/>
          <w:highlight w:val="none"/>
          <w:lang w:val="en-US" w:eastAsia="zh-CN"/>
        </w:rPr>
        <w:t>工程组织实施情况</w:t>
      </w:r>
      <w:bookmarkEnd w:id="53"/>
    </w:p>
    <w:p w14:paraId="145B494D">
      <w:pPr>
        <w:bidi w:val="0"/>
        <w:jc w:val="both"/>
        <w:rPr>
          <w:rFonts w:hint="eastAsia"/>
          <w:highlight w:val="none"/>
          <w:lang w:val="en-US" w:eastAsia="zh-CN"/>
        </w:rPr>
      </w:pPr>
      <w:r>
        <w:rPr>
          <w:rFonts w:hint="eastAsia"/>
          <w:highlight w:val="none"/>
          <w:lang w:val="en-US" w:eastAsia="zh-CN"/>
        </w:rPr>
        <w:t>2024年9月23日下午，双子建设森霆春晓项目经理刘</w:t>
      </w:r>
      <w:r>
        <w:rPr>
          <w:rFonts w:hint="eastAsia" w:ascii="仿宋_GB2312" w:hAnsi="仿宋_GB2312" w:eastAsia="仿宋_GB2312" w:cs="仿宋_GB2312"/>
          <w:highlight w:val="none"/>
          <w:lang w:val="en-US" w:eastAsia="zh-CN"/>
        </w:rPr>
        <w:t>**</w:t>
      </w:r>
      <w:r>
        <w:rPr>
          <w:rFonts w:hint="eastAsia"/>
          <w:highlight w:val="none"/>
          <w:lang w:val="en-US" w:eastAsia="zh-CN"/>
        </w:rPr>
        <w:t>安排对森霆春晓项目9#</w:t>
      </w:r>
      <w:r>
        <w:rPr>
          <w:rFonts w:hint="eastAsia" w:cs="Times New Roman"/>
          <w:b w:val="0"/>
          <w:bCs w:val="0"/>
          <w:i w:val="0"/>
          <w:iCs w:val="0"/>
          <w:caps w:val="0"/>
          <w:color w:val="auto"/>
          <w:spacing w:val="0"/>
          <w:sz w:val="32"/>
          <w:szCs w:val="32"/>
          <w:highlight w:val="none"/>
          <w:shd w:val="clear" w:color="auto" w:fill="FFFFFF"/>
          <w:lang w:val="en-US" w:eastAsia="zh-CN"/>
        </w:rPr>
        <w:t>楼</w:t>
      </w:r>
      <w:r>
        <w:rPr>
          <w:rFonts w:hint="eastAsia"/>
          <w:highlight w:val="none"/>
          <w:lang w:val="en-US" w:eastAsia="zh-CN"/>
        </w:rPr>
        <w:t>、10#楼西侧的消防道路浇筑混凝土，双子建设森霆春晓项目部土建技术员陈</w:t>
      </w:r>
      <w:r>
        <w:rPr>
          <w:rFonts w:hint="eastAsia" w:ascii="仿宋_GB2312" w:hAnsi="仿宋_GB2312" w:eastAsia="仿宋_GB2312" w:cs="仿宋_GB2312"/>
          <w:highlight w:val="none"/>
          <w:lang w:val="en-US" w:eastAsia="zh-CN"/>
        </w:rPr>
        <w:t>*</w:t>
      </w:r>
      <w:r>
        <w:rPr>
          <w:rFonts w:hint="eastAsia"/>
          <w:highlight w:val="none"/>
          <w:lang w:val="en-US" w:eastAsia="zh-CN"/>
        </w:rPr>
        <w:t>联系建科建设搅拌站站长董</w:t>
      </w:r>
      <w:r>
        <w:rPr>
          <w:rFonts w:hint="eastAsia" w:ascii="仿宋_GB2312" w:hAnsi="仿宋_GB2312" w:eastAsia="仿宋_GB2312" w:cs="仿宋_GB2312"/>
          <w:highlight w:val="none"/>
          <w:lang w:val="en-US" w:eastAsia="zh-CN"/>
        </w:rPr>
        <w:t>**</w:t>
      </w:r>
      <w:r>
        <w:rPr>
          <w:rFonts w:hint="eastAsia"/>
          <w:highlight w:val="none"/>
          <w:lang w:val="en-US" w:eastAsia="zh-CN"/>
        </w:rPr>
        <w:t>安排相关混凝土泵车进场作业，董</w:t>
      </w:r>
      <w:r>
        <w:rPr>
          <w:rFonts w:hint="eastAsia" w:ascii="仿宋_GB2312" w:hAnsi="仿宋_GB2312" w:eastAsia="仿宋_GB2312" w:cs="仿宋_GB2312"/>
          <w:highlight w:val="none"/>
          <w:lang w:val="en-US" w:eastAsia="zh-CN"/>
        </w:rPr>
        <w:t>**</w:t>
      </w:r>
      <w:r>
        <w:rPr>
          <w:rFonts w:hint="eastAsia"/>
          <w:highlight w:val="none"/>
          <w:lang w:val="en-US" w:eastAsia="zh-CN"/>
        </w:rPr>
        <w:t>安排该单位泵车司机于</w:t>
      </w:r>
      <w:r>
        <w:rPr>
          <w:rFonts w:hint="eastAsia" w:ascii="仿宋_GB2312" w:hAnsi="仿宋_GB2312" w:eastAsia="仿宋_GB2312" w:cs="仿宋_GB2312"/>
          <w:highlight w:val="none"/>
          <w:lang w:val="en-US" w:eastAsia="zh-CN"/>
        </w:rPr>
        <w:t>**</w:t>
      </w:r>
      <w:r>
        <w:rPr>
          <w:rFonts w:hint="eastAsia"/>
          <w:highlight w:val="none"/>
          <w:lang w:val="en-US" w:eastAsia="zh-CN"/>
        </w:rPr>
        <w:t>到森霆春晓项目工地施工。双子建设未告知同绩工程该工程组织情况，消防道路浇筑混凝土不属于危险性较大的分部分项工程范围，不要求监理人员进行旁站监督。</w:t>
      </w:r>
    </w:p>
    <w:p w14:paraId="5A1718C9">
      <w:pPr>
        <w:pStyle w:val="3"/>
        <w:bidi w:val="0"/>
        <w:rPr>
          <w:rFonts w:hint="eastAsia"/>
          <w:highlight w:val="none"/>
          <w:lang w:val="en-US" w:eastAsia="zh-CN"/>
        </w:rPr>
      </w:pPr>
      <w:bookmarkStart w:id="54" w:name="_Toc17487"/>
      <w:r>
        <w:rPr>
          <w:rFonts w:hint="eastAsia"/>
          <w:highlight w:val="none"/>
          <w:lang w:val="en-US" w:eastAsia="zh-CN"/>
        </w:rPr>
        <w:t>（五）事故发生经过</w:t>
      </w:r>
      <w:bookmarkEnd w:id="54"/>
    </w:p>
    <w:p w14:paraId="058FBA12">
      <w:pPr>
        <w:bidi w:val="0"/>
        <w:rPr>
          <w:rFonts w:hint="eastAsia"/>
          <w:highlight w:val="none"/>
        </w:rPr>
      </w:pPr>
      <w:r>
        <w:rPr>
          <w:rFonts w:hint="eastAsia"/>
          <w:highlight w:val="none"/>
          <w:lang w:val="en-US" w:eastAsia="zh-CN"/>
        </w:rPr>
        <w:t>2024年9月24日8时许，于</w:t>
      </w:r>
      <w:r>
        <w:rPr>
          <w:rFonts w:hint="eastAsia" w:ascii="仿宋_GB2312" w:hAnsi="仿宋_GB2312" w:eastAsia="仿宋_GB2312" w:cs="仿宋_GB2312"/>
          <w:highlight w:val="none"/>
          <w:lang w:val="en-US" w:eastAsia="zh-CN"/>
        </w:rPr>
        <w:t>**</w:t>
      </w:r>
      <w:r>
        <w:rPr>
          <w:rFonts w:hint="eastAsia"/>
          <w:highlight w:val="none"/>
          <w:lang w:val="en-US" w:eastAsia="zh-CN"/>
        </w:rPr>
        <w:t>与陈</w:t>
      </w:r>
      <w:r>
        <w:rPr>
          <w:rFonts w:hint="eastAsia" w:ascii="仿宋_GB2312" w:hAnsi="仿宋_GB2312" w:eastAsia="仿宋_GB2312" w:cs="仿宋_GB2312"/>
          <w:highlight w:val="none"/>
          <w:lang w:val="en-US" w:eastAsia="zh-CN"/>
        </w:rPr>
        <w:t>*</w:t>
      </w:r>
      <w:r>
        <w:rPr>
          <w:rFonts w:hint="eastAsia"/>
          <w:highlight w:val="none"/>
          <w:lang w:val="en-US" w:eastAsia="zh-CN"/>
        </w:rPr>
        <w:t>联系从森霆春晓工地南门进入；8时19分，于</w:t>
      </w:r>
      <w:r>
        <w:rPr>
          <w:rFonts w:hint="eastAsia" w:ascii="仿宋_GB2312" w:hAnsi="仿宋_GB2312" w:eastAsia="仿宋_GB2312" w:cs="仿宋_GB2312"/>
          <w:highlight w:val="none"/>
          <w:lang w:val="en-US" w:eastAsia="zh-CN"/>
        </w:rPr>
        <w:t>**</w:t>
      </w:r>
      <w:r>
        <w:rPr>
          <w:rFonts w:hint="eastAsia"/>
          <w:highlight w:val="none"/>
          <w:lang w:val="en-US" w:eastAsia="zh-CN"/>
        </w:rPr>
        <w:t>驾驶泵车到达</w:t>
      </w:r>
      <w:r>
        <w:rPr>
          <w:rFonts w:hint="default" w:ascii="Times New Roman" w:hAnsi="Times New Roman" w:eastAsia="仿宋_GB2312" w:cs="Times New Roman"/>
          <w:b w:val="0"/>
          <w:bCs w:val="0"/>
          <w:i w:val="0"/>
          <w:iCs w:val="0"/>
          <w:caps w:val="0"/>
          <w:color w:val="auto"/>
          <w:spacing w:val="0"/>
          <w:sz w:val="30"/>
          <w:szCs w:val="30"/>
          <w:highlight w:val="none"/>
          <w:shd w:val="clear" w:color="auto" w:fill="FFFFFF"/>
          <w:lang w:val="en-US" w:eastAsia="zh-CN"/>
        </w:rPr>
        <w:t>9#</w:t>
      </w:r>
      <w:r>
        <w:rPr>
          <w:rFonts w:hint="eastAsia" w:cs="Times New Roman"/>
          <w:b w:val="0"/>
          <w:bCs w:val="0"/>
          <w:i w:val="0"/>
          <w:iCs w:val="0"/>
          <w:caps w:val="0"/>
          <w:color w:val="auto"/>
          <w:spacing w:val="0"/>
          <w:sz w:val="32"/>
          <w:szCs w:val="32"/>
          <w:highlight w:val="none"/>
          <w:shd w:val="clear" w:color="auto" w:fill="FFFFFF"/>
          <w:lang w:val="en-US" w:eastAsia="zh-CN"/>
        </w:rPr>
        <w:t>楼</w:t>
      </w:r>
      <w:r>
        <w:rPr>
          <w:rFonts w:hint="default" w:ascii="Times New Roman" w:hAnsi="Times New Roman" w:eastAsia="仿宋_GB2312" w:cs="Times New Roman"/>
          <w:b w:val="0"/>
          <w:bCs w:val="0"/>
          <w:i w:val="0"/>
          <w:iCs w:val="0"/>
          <w:caps w:val="0"/>
          <w:color w:val="auto"/>
          <w:spacing w:val="0"/>
          <w:sz w:val="30"/>
          <w:szCs w:val="30"/>
          <w:highlight w:val="none"/>
          <w:shd w:val="clear" w:color="auto" w:fill="FFFFFF"/>
          <w:lang w:val="en-US" w:eastAsia="zh-CN"/>
        </w:rPr>
        <w:t>、10#</w:t>
      </w:r>
      <w:r>
        <w:rPr>
          <w:rFonts w:hint="eastAsia"/>
          <w:highlight w:val="none"/>
          <w:lang w:val="en-US" w:eastAsia="zh-CN"/>
        </w:rPr>
        <w:t>楼车库入口处；8时26分，现场作业人员搬运木材；8时36分，于</w:t>
      </w:r>
      <w:r>
        <w:rPr>
          <w:rFonts w:hint="eastAsia" w:ascii="仿宋_GB2312" w:hAnsi="仿宋_GB2312" w:eastAsia="仿宋_GB2312" w:cs="仿宋_GB2312"/>
          <w:highlight w:val="none"/>
          <w:lang w:val="en-US" w:eastAsia="zh-CN"/>
        </w:rPr>
        <w:t>**</w:t>
      </w:r>
      <w:r>
        <w:rPr>
          <w:rFonts w:hint="eastAsia"/>
          <w:highlight w:val="none"/>
          <w:lang w:val="en-US" w:eastAsia="zh-CN"/>
        </w:rPr>
        <w:t>开始使用搬运来的木材铺设泵车支腿地面支撑；8时47分，支腿地面支撑安装完成，于</w:t>
      </w:r>
      <w:r>
        <w:rPr>
          <w:rFonts w:hint="eastAsia" w:ascii="仿宋_GB2312" w:hAnsi="仿宋_GB2312" w:eastAsia="仿宋_GB2312" w:cs="仿宋_GB2312"/>
          <w:highlight w:val="none"/>
          <w:lang w:val="en-US" w:eastAsia="zh-CN"/>
        </w:rPr>
        <w:t>**</w:t>
      </w:r>
      <w:r>
        <w:rPr>
          <w:rFonts w:hint="eastAsia"/>
          <w:highlight w:val="none"/>
          <w:lang w:val="en-US" w:eastAsia="zh-CN"/>
        </w:rPr>
        <w:t>操作泵车输料臂升起；8时52分，于</w:t>
      </w:r>
      <w:r>
        <w:rPr>
          <w:rFonts w:hint="eastAsia" w:ascii="仿宋_GB2312" w:hAnsi="仿宋_GB2312" w:eastAsia="仿宋_GB2312" w:cs="仿宋_GB2312"/>
          <w:highlight w:val="none"/>
          <w:lang w:val="en-US" w:eastAsia="zh-CN"/>
        </w:rPr>
        <w:t>**</w:t>
      </w:r>
      <w:r>
        <w:rPr>
          <w:rFonts w:hint="eastAsia"/>
          <w:highlight w:val="none"/>
          <w:lang w:val="en-US" w:eastAsia="zh-CN"/>
        </w:rPr>
        <w:t>操作泵车输料臂向北伸开，中途停止，于</w:t>
      </w:r>
      <w:r>
        <w:rPr>
          <w:rFonts w:hint="eastAsia" w:ascii="仿宋_GB2312" w:hAnsi="仿宋_GB2312" w:eastAsia="仿宋_GB2312" w:cs="仿宋_GB2312"/>
          <w:highlight w:val="none"/>
          <w:lang w:val="en-US" w:eastAsia="zh-CN"/>
        </w:rPr>
        <w:t>**</w:t>
      </w:r>
      <w:r>
        <w:rPr>
          <w:rFonts w:hint="eastAsia"/>
          <w:highlight w:val="none"/>
          <w:lang w:val="en-US" w:eastAsia="zh-CN"/>
        </w:rPr>
        <w:t>对泵车支腿支撑情况、输料系统进行检查；9时04分，双子建设劳务分包单位（昌宏劳务）人员侯</w:t>
      </w:r>
      <w:r>
        <w:rPr>
          <w:rFonts w:hint="eastAsia" w:ascii="仿宋_GB2312" w:hAnsi="仿宋_GB2312" w:eastAsia="仿宋_GB2312" w:cs="仿宋_GB2312"/>
          <w:highlight w:val="none"/>
          <w:lang w:val="en-US" w:eastAsia="zh-CN"/>
        </w:rPr>
        <w:t>**</w:t>
      </w:r>
      <w:r>
        <w:rPr>
          <w:rFonts w:hint="eastAsia"/>
          <w:highlight w:val="none"/>
          <w:lang w:val="en-US" w:eastAsia="zh-CN"/>
        </w:rPr>
        <w:t>、罗</w:t>
      </w:r>
      <w:r>
        <w:rPr>
          <w:rFonts w:hint="eastAsia" w:ascii="仿宋_GB2312" w:hAnsi="仿宋_GB2312" w:eastAsia="仿宋_GB2312" w:cs="仿宋_GB2312"/>
          <w:highlight w:val="none"/>
          <w:lang w:val="en-US" w:eastAsia="zh-CN"/>
        </w:rPr>
        <w:t>**</w:t>
      </w:r>
      <w:r>
        <w:rPr>
          <w:rFonts w:hint="eastAsia"/>
          <w:highlight w:val="none"/>
          <w:lang w:val="en-US" w:eastAsia="zh-CN"/>
        </w:rPr>
        <w:t>等4人走向作业地点；9时33分16秒，于</w:t>
      </w:r>
      <w:r>
        <w:rPr>
          <w:rFonts w:hint="eastAsia" w:ascii="仿宋_GB2312" w:hAnsi="仿宋_GB2312" w:eastAsia="仿宋_GB2312" w:cs="仿宋_GB2312"/>
          <w:highlight w:val="none"/>
          <w:lang w:val="en-US" w:eastAsia="zh-CN"/>
        </w:rPr>
        <w:t>**</w:t>
      </w:r>
      <w:r>
        <w:rPr>
          <w:rFonts w:hint="eastAsia"/>
          <w:highlight w:val="none"/>
          <w:lang w:val="en-US" w:eastAsia="zh-CN"/>
        </w:rPr>
        <w:t>操作泵车输料臂在车库入口西侧放出了部分混凝土；9时33分40秒，于</w:t>
      </w:r>
      <w:r>
        <w:rPr>
          <w:rFonts w:hint="eastAsia" w:ascii="仿宋_GB2312" w:hAnsi="仿宋_GB2312" w:eastAsia="仿宋_GB2312" w:cs="仿宋_GB2312"/>
          <w:highlight w:val="none"/>
          <w:lang w:val="en-US" w:eastAsia="zh-CN"/>
        </w:rPr>
        <w:t>**</w:t>
      </w:r>
      <w:r>
        <w:rPr>
          <w:rFonts w:hint="eastAsia"/>
          <w:highlight w:val="none"/>
          <w:lang w:val="en-US" w:eastAsia="zh-CN"/>
        </w:rPr>
        <w:t>跟随输料臂软管继续将泵车输料臂向北伸开；9时35分34秒，于</w:t>
      </w:r>
      <w:r>
        <w:rPr>
          <w:rFonts w:hint="eastAsia" w:ascii="仿宋_GB2312" w:hAnsi="仿宋_GB2312" w:eastAsia="仿宋_GB2312" w:cs="仿宋_GB2312"/>
          <w:highlight w:val="none"/>
          <w:lang w:val="en-US" w:eastAsia="zh-CN"/>
        </w:rPr>
        <w:t>**</w:t>
      </w:r>
      <w:r>
        <w:rPr>
          <w:rFonts w:hint="eastAsia"/>
          <w:highlight w:val="none"/>
          <w:lang w:val="en-US" w:eastAsia="zh-CN"/>
        </w:rPr>
        <w:t>操作泵车输料臂软管到达预定工作位置，罗</w:t>
      </w:r>
      <w:r>
        <w:rPr>
          <w:rFonts w:hint="eastAsia" w:ascii="仿宋_GB2312" w:hAnsi="仿宋_GB2312" w:eastAsia="仿宋_GB2312" w:cs="仿宋_GB2312"/>
          <w:highlight w:val="none"/>
          <w:lang w:val="en-US" w:eastAsia="zh-CN"/>
        </w:rPr>
        <w:t>**</w:t>
      </w:r>
      <w:r>
        <w:rPr>
          <w:rFonts w:hint="eastAsia"/>
          <w:highlight w:val="none"/>
          <w:lang w:val="en-US" w:eastAsia="zh-CN"/>
        </w:rPr>
        <w:t>直接走到输料臂下方、软管南侧用手扶住输料臂软管；9时35分41秒，于</w:t>
      </w:r>
      <w:r>
        <w:rPr>
          <w:rFonts w:hint="eastAsia" w:ascii="仿宋_GB2312" w:hAnsi="仿宋_GB2312" w:eastAsia="仿宋_GB2312" w:cs="仿宋_GB2312"/>
          <w:highlight w:val="none"/>
          <w:lang w:val="en-US" w:eastAsia="zh-CN"/>
        </w:rPr>
        <w:t>**</w:t>
      </w:r>
      <w:r>
        <w:rPr>
          <w:rFonts w:hint="eastAsia"/>
          <w:highlight w:val="none"/>
          <w:lang w:val="en-US" w:eastAsia="zh-CN"/>
        </w:rPr>
        <w:t>操作泵车开始输送混凝土，罗</w:t>
      </w:r>
      <w:r>
        <w:rPr>
          <w:rFonts w:hint="eastAsia" w:ascii="仿宋_GB2312" w:hAnsi="仿宋_GB2312" w:eastAsia="仿宋_GB2312" w:cs="仿宋_GB2312"/>
          <w:highlight w:val="none"/>
          <w:lang w:val="en-US" w:eastAsia="zh-CN"/>
        </w:rPr>
        <w:t>**</w:t>
      </w:r>
      <w:r>
        <w:rPr>
          <w:rFonts w:hint="eastAsia"/>
          <w:highlight w:val="none"/>
          <w:lang w:val="en-US" w:eastAsia="zh-CN"/>
        </w:rPr>
        <w:t>扶着软管进行布料，侯</w:t>
      </w:r>
      <w:r>
        <w:rPr>
          <w:rFonts w:hint="eastAsia" w:ascii="仿宋_GB2312" w:hAnsi="仿宋_GB2312" w:eastAsia="仿宋_GB2312" w:cs="仿宋_GB2312"/>
          <w:highlight w:val="none"/>
          <w:lang w:val="en-US" w:eastAsia="zh-CN"/>
        </w:rPr>
        <w:t>**</w:t>
      </w:r>
      <w:r>
        <w:rPr>
          <w:rFonts w:hint="eastAsia"/>
          <w:highlight w:val="none"/>
          <w:lang w:val="en-US" w:eastAsia="zh-CN"/>
        </w:rPr>
        <w:t>走向罗</w:t>
      </w:r>
      <w:r>
        <w:rPr>
          <w:rFonts w:hint="eastAsia" w:ascii="仿宋_GB2312" w:hAnsi="仿宋_GB2312" w:eastAsia="仿宋_GB2312" w:cs="仿宋_GB2312"/>
          <w:highlight w:val="none"/>
          <w:lang w:val="en-US" w:eastAsia="zh-CN"/>
        </w:rPr>
        <w:t>**</w:t>
      </w:r>
      <w:r>
        <w:rPr>
          <w:rFonts w:hint="eastAsia"/>
          <w:highlight w:val="none"/>
          <w:lang w:val="en-US" w:eastAsia="zh-CN"/>
        </w:rPr>
        <w:t>身后查看布料情况，泵车右前支腿突然下陷，输料臂后端掉落在了车库入口门架上，输料臂前端部及软管向下甩动，击中正在下方作业的侯</w:t>
      </w:r>
      <w:r>
        <w:rPr>
          <w:rFonts w:hint="eastAsia" w:ascii="仿宋_GB2312" w:hAnsi="仿宋_GB2312" w:eastAsia="仿宋_GB2312" w:cs="仿宋_GB2312"/>
          <w:highlight w:val="none"/>
          <w:lang w:val="en-US" w:eastAsia="zh-CN"/>
        </w:rPr>
        <w:t>**</w:t>
      </w:r>
      <w:r>
        <w:rPr>
          <w:rFonts w:hint="eastAsia"/>
          <w:highlight w:val="none"/>
          <w:lang w:val="en-US" w:eastAsia="zh-CN"/>
        </w:rPr>
        <w:t>、罗</w:t>
      </w:r>
      <w:r>
        <w:rPr>
          <w:rFonts w:hint="eastAsia" w:ascii="仿宋_GB2312" w:hAnsi="仿宋_GB2312" w:eastAsia="仿宋_GB2312" w:cs="仿宋_GB2312"/>
          <w:highlight w:val="none"/>
          <w:lang w:val="en-US" w:eastAsia="zh-CN"/>
        </w:rPr>
        <w:t>**</w:t>
      </w:r>
      <w:r>
        <w:rPr>
          <w:rFonts w:hint="eastAsia"/>
          <w:highlight w:val="none"/>
          <w:lang w:val="en-US" w:eastAsia="zh-CN"/>
        </w:rPr>
        <w:t>，事故发生。</w:t>
      </w:r>
    </w:p>
    <w:p w14:paraId="1A25BCC1">
      <w:pPr>
        <w:pStyle w:val="3"/>
        <w:numPr>
          <w:ilvl w:val="0"/>
          <w:numId w:val="0"/>
        </w:numPr>
        <w:bidi w:val="0"/>
        <w:ind w:firstLine="643" w:firstLineChars="200"/>
        <w:rPr>
          <w:rFonts w:hint="eastAsia"/>
          <w:highlight w:val="none"/>
        </w:rPr>
      </w:pPr>
      <w:bookmarkStart w:id="55" w:name="_Toc12897"/>
      <w:bookmarkStart w:id="56" w:name="_Toc21908"/>
      <w:bookmarkStart w:id="57" w:name="_Toc29277"/>
      <w:bookmarkStart w:id="58" w:name="_Toc25815"/>
      <w:bookmarkStart w:id="59" w:name="_Toc31933"/>
      <w:bookmarkStart w:id="60" w:name="_Toc6279"/>
      <w:bookmarkStart w:id="61" w:name="_Toc13632"/>
      <w:bookmarkStart w:id="62" w:name="_Toc23698"/>
      <w:r>
        <w:rPr>
          <w:rFonts w:hint="eastAsia" w:ascii="Times New Roman" w:hAnsi="Times New Roman" w:eastAsia="楷体_GB2312" w:cs="楷体_GB2312"/>
          <w:b/>
          <w:kern w:val="0"/>
          <w:sz w:val="32"/>
          <w:szCs w:val="21"/>
          <w:highlight w:val="none"/>
          <w:lang w:val="en-US" w:eastAsia="zh-CN" w:bidi="ar-SA"/>
        </w:rPr>
        <w:t>（</w:t>
      </w:r>
      <w:r>
        <w:rPr>
          <w:rFonts w:hint="eastAsia" w:cs="楷体_GB2312"/>
          <w:b/>
          <w:kern w:val="0"/>
          <w:sz w:val="32"/>
          <w:szCs w:val="21"/>
          <w:highlight w:val="none"/>
          <w:lang w:val="en-US" w:eastAsia="zh-CN" w:bidi="ar-SA"/>
        </w:rPr>
        <w:t>六</w:t>
      </w:r>
      <w:r>
        <w:rPr>
          <w:rFonts w:hint="eastAsia" w:ascii="Times New Roman" w:hAnsi="Times New Roman" w:eastAsia="楷体_GB2312" w:cs="楷体_GB2312"/>
          <w:b/>
          <w:kern w:val="0"/>
          <w:sz w:val="32"/>
          <w:szCs w:val="21"/>
          <w:highlight w:val="none"/>
          <w:lang w:val="en-US" w:eastAsia="zh-CN" w:bidi="ar-SA"/>
        </w:rPr>
        <w:t>）</w:t>
      </w:r>
      <w:r>
        <w:rPr>
          <w:rFonts w:hint="eastAsia"/>
          <w:highlight w:val="none"/>
        </w:rPr>
        <w:t>事故现场情况</w:t>
      </w:r>
      <w:bookmarkEnd w:id="55"/>
      <w:bookmarkEnd w:id="56"/>
      <w:bookmarkEnd w:id="57"/>
      <w:bookmarkEnd w:id="58"/>
      <w:bookmarkEnd w:id="59"/>
      <w:bookmarkEnd w:id="60"/>
      <w:bookmarkEnd w:id="61"/>
      <w:bookmarkEnd w:id="62"/>
    </w:p>
    <w:p w14:paraId="00496DD8">
      <w:pPr>
        <w:bidi w:val="0"/>
        <w:rPr>
          <w:rFonts w:hint="eastAsia"/>
          <w:highlight w:val="none"/>
          <w:lang w:val="en-US" w:eastAsia="zh-CN"/>
        </w:rPr>
      </w:pPr>
      <w:r>
        <w:rPr>
          <w:rFonts w:hint="eastAsia"/>
          <w:highlight w:val="none"/>
          <w:lang w:val="en-US" w:eastAsia="zh-CN"/>
        </w:rPr>
        <w:t>事故发生在盛泉西路以北，澳柯玛大街以西森霆春晓项目西侧消防道路</w:t>
      </w:r>
      <w:r>
        <w:rPr>
          <w:rFonts w:ascii="仿宋_GB2312" w:hAnsi="仿宋_GB2312" w:eastAsia="仿宋_GB2312" w:cs="仿宋_GB2312"/>
          <w:sz w:val="32"/>
          <w:szCs w:val="32"/>
          <w:highlight w:val="none"/>
        </w:rPr>
        <w:t>（见图</w:t>
      </w:r>
      <w:r>
        <w:rPr>
          <w:rFonts w:hint="eastAsia" w:ascii="仿宋_GB2312" w:hAnsi="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、图</w:t>
      </w:r>
      <w:r>
        <w:rPr>
          <w:rFonts w:hint="eastAsia" w:ascii="仿宋_GB2312" w:hAnsi="仿宋_GB2312" w:cs="仿宋_GB2312"/>
          <w:sz w:val="32"/>
          <w:szCs w:val="32"/>
          <w:highlight w:val="none"/>
          <w:lang w:val="en-US" w:eastAsia="zh-CN"/>
        </w:rPr>
        <w:t>3</w:t>
      </w:r>
      <w:r>
        <w:rPr>
          <w:rFonts w:ascii="仿宋_GB2312" w:hAnsi="仿宋_GB2312" w:eastAsia="仿宋_GB2312" w:cs="仿宋_GB2312"/>
          <w:sz w:val="32"/>
          <w:szCs w:val="32"/>
          <w:highlight w:val="none"/>
        </w:rPr>
        <w:t>）</w:t>
      </w:r>
      <w:r>
        <w:rPr>
          <w:rFonts w:hint="eastAsia"/>
          <w:highlight w:val="none"/>
          <w:lang w:val="en-US" w:eastAsia="zh-CN"/>
        </w:rPr>
        <w:t>。</w:t>
      </w:r>
    </w:p>
    <w:p w14:paraId="04880928">
      <w:pPr>
        <w:bidi w:val="0"/>
        <w:jc w:val="center"/>
        <w:rPr>
          <w:rFonts w:hint="eastAsia"/>
          <w:highlight w:val="none"/>
          <w:lang w:val="en-US" w:eastAsia="zh-CN"/>
        </w:rPr>
      </w:pPr>
      <w:r>
        <w:rPr>
          <w:rFonts w:hint="eastAsia"/>
          <w:highlight w:val="none"/>
          <w:lang w:val="en-US" w:eastAsia="zh-CN"/>
        </w:rPr>
        <w:drawing>
          <wp:anchor distT="0" distB="0" distL="114300" distR="114300" simplePos="0" relativeHeight="251661312" behindDoc="0" locked="0" layoutInCell="1" allowOverlap="1">
            <wp:simplePos x="0" y="0"/>
            <wp:positionH relativeFrom="column">
              <wp:posOffset>643255</wp:posOffset>
            </wp:positionH>
            <wp:positionV relativeFrom="paragraph">
              <wp:posOffset>241300</wp:posOffset>
            </wp:positionV>
            <wp:extent cx="3948430" cy="2318385"/>
            <wp:effectExtent l="0" t="0" r="13970" b="5715"/>
            <wp:wrapTopAndBottom/>
            <wp:docPr id="6" name="图片 6" descr="52e9e237372663fe2f46cf49d2435d0"/>
            <wp:cNvGraphicFramePr/>
            <a:graphic xmlns:a="http://schemas.openxmlformats.org/drawingml/2006/main">
              <a:graphicData uri="http://schemas.openxmlformats.org/drawingml/2006/picture">
                <pic:pic xmlns:pic="http://schemas.openxmlformats.org/drawingml/2006/picture">
                  <pic:nvPicPr>
                    <pic:cNvPr id="6" name="图片 6" descr="52e9e237372663fe2f46cf49d2435d0"/>
                    <pic:cNvPicPr/>
                  </pic:nvPicPr>
                  <pic:blipFill>
                    <a:blip r:embed="rId8"/>
                    <a:stretch>
                      <a:fillRect/>
                    </a:stretch>
                  </pic:blipFill>
                  <pic:spPr>
                    <a:xfrm>
                      <a:off x="0" y="0"/>
                      <a:ext cx="3948430" cy="2318385"/>
                    </a:xfrm>
                    <a:prstGeom prst="rect">
                      <a:avLst/>
                    </a:prstGeom>
                  </pic:spPr>
                </pic:pic>
              </a:graphicData>
            </a:graphic>
          </wp:anchor>
        </w:drawing>
      </w:r>
      <w:r>
        <w:rPr>
          <w:rFonts w:hint="eastAsia"/>
          <w:highlight w:val="none"/>
          <w:lang w:val="en-US" w:eastAsia="zh-CN"/>
        </w:rPr>
        <w:t>图2 事故发生地点示意图</w:t>
      </w:r>
    </w:p>
    <w:p w14:paraId="5932309C">
      <w:pPr>
        <w:bidi w:val="0"/>
        <w:jc w:val="center"/>
        <w:rPr>
          <w:rFonts w:hint="default"/>
          <w:highlight w:val="none"/>
          <w:lang w:val="en-US" w:eastAsia="zh-CN"/>
        </w:rPr>
      </w:pPr>
      <w:r>
        <w:rPr>
          <w:rFonts w:hint="eastAsia"/>
          <w:highlight w:val="none"/>
          <w:lang w:val="en-US" w:eastAsia="zh-CN"/>
        </w:rPr>
        <w:drawing>
          <wp:anchor distT="0" distB="0" distL="114300" distR="114300" simplePos="0" relativeHeight="251662336" behindDoc="0" locked="0" layoutInCell="1" allowOverlap="1">
            <wp:simplePos x="0" y="0"/>
            <wp:positionH relativeFrom="column">
              <wp:posOffset>643255</wp:posOffset>
            </wp:positionH>
            <wp:positionV relativeFrom="paragraph">
              <wp:posOffset>25400</wp:posOffset>
            </wp:positionV>
            <wp:extent cx="4030980" cy="2298700"/>
            <wp:effectExtent l="0" t="0" r="7620" b="6350"/>
            <wp:wrapTopAndBottom/>
            <wp:docPr id="8" name="图片 8" descr="f9c07cdd57d04d0c866845fae42d2d4"/>
            <wp:cNvGraphicFramePr/>
            <a:graphic xmlns:a="http://schemas.openxmlformats.org/drawingml/2006/main">
              <a:graphicData uri="http://schemas.openxmlformats.org/drawingml/2006/picture">
                <pic:pic xmlns:pic="http://schemas.openxmlformats.org/drawingml/2006/picture">
                  <pic:nvPicPr>
                    <pic:cNvPr id="8" name="图片 8" descr="f9c07cdd57d04d0c866845fae42d2d4"/>
                    <pic:cNvPicPr/>
                  </pic:nvPicPr>
                  <pic:blipFill>
                    <a:blip r:embed="rId9"/>
                    <a:srcRect b="10070"/>
                    <a:stretch>
                      <a:fillRect/>
                    </a:stretch>
                  </pic:blipFill>
                  <pic:spPr>
                    <a:xfrm>
                      <a:off x="0" y="0"/>
                      <a:ext cx="4030980" cy="2298700"/>
                    </a:xfrm>
                    <a:prstGeom prst="rect">
                      <a:avLst/>
                    </a:prstGeom>
                  </pic:spPr>
                </pic:pic>
              </a:graphicData>
            </a:graphic>
          </wp:anchor>
        </w:drawing>
      </w:r>
      <w:r>
        <w:rPr>
          <w:rFonts w:hint="eastAsia"/>
          <w:highlight w:val="none"/>
          <w:lang w:val="en-US" w:eastAsia="zh-CN"/>
        </w:rPr>
        <w:t>图3 事故现场示意图</w:t>
      </w:r>
    </w:p>
    <w:p w14:paraId="68A52AF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highlight w:val="none"/>
          <w:lang w:val="en-US" w:eastAsia="zh-CN"/>
        </w:rPr>
      </w:pPr>
      <w:r>
        <w:rPr>
          <w:rFonts w:hint="eastAsia"/>
          <w:highlight w:val="none"/>
          <w:lang w:val="en-US" w:eastAsia="zh-CN"/>
        </w:rPr>
        <w:drawing>
          <wp:anchor distT="0" distB="0" distL="114300" distR="114300" simplePos="0" relativeHeight="251659264" behindDoc="0" locked="0" layoutInCell="1" allowOverlap="1">
            <wp:simplePos x="0" y="0"/>
            <wp:positionH relativeFrom="column">
              <wp:posOffset>1116330</wp:posOffset>
            </wp:positionH>
            <wp:positionV relativeFrom="paragraph">
              <wp:posOffset>139065</wp:posOffset>
            </wp:positionV>
            <wp:extent cx="3424555" cy="3845560"/>
            <wp:effectExtent l="0" t="0" r="0" b="0"/>
            <wp:wrapTopAndBottom/>
            <wp:docPr id="5" name="图片 5" descr="fa5802a40aaab8f70bb05cc8a89f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a5802a40aaab8f70bb05cc8a89f080"/>
                    <pic:cNvPicPr>
                      <a:picLocks noChangeAspect="1"/>
                    </pic:cNvPicPr>
                  </pic:nvPicPr>
                  <pic:blipFill>
                    <a:blip r:embed="rId10"/>
                    <a:srcRect b="15784"/>
                    <a:stretch>
                      <a:fillRect/>
                    </a:stretch>
                  </pic:blipFill>
                  <pic:spPr>
                    <a:xfrm>
                      <a:off x="0" y="0"/>
                      <a:ext cx="3424555" cy="3845560"/>
                    </a:xfrm>
                    <a:prstGeom prst="rect">
                      <a:avLst/>
                    </a:prstGeom>
                  </pic:spPr>
                </pic:pic>
              </a:graphicData>
            </a:graphic>
          </wp:anchor>
        </w:drawing>
      </w:r>
      <w:r>
        <w:rPr>
          <w:rFonts w:hint="eastAsia"/>
          <w:highlight w:val="none"/>
          <w:lang w:val="en-US" w:eastAsia="zh-CN"/>
        </w:rPr>
        <w:t>图4 泵车右前支腿下陷图片</w:t>
      </w:r>
    </w:p>
    <w:p w14:paraId="509B8678">
      <w:pPr>
        <w:bidi w:val="0"/>
        <w:ind w:firstLine="0" w:firstLineChars="0"/>
        <w:jc w:val="center"/>
        <w:rPr>
          <w:rFonts w:hint="eastAsia"/>
          <w:highlight w:val="none"/>
          <w:lang w:val="en-US" w:eastAsia="zh-CN"/>
        </w:rPr>
      </w:pPr>
      <w:r>
        <w:rPr>
          <w:rFonts w:hint="default"/>
          <w:highlight w:val="none"/>
          <w:lang w:val="en-US" w:eastAsia="zh-CN"/>
        </w:rPr>
        <w:drawing>
          <wp:anchor distT="0" distB="0" distL="114300" distR="114300" simplePos="0" relativeHeight="251663360" behindDoc="0" locked="0" layoutInCell="1" allowOverlap="1">
            <wp:simplePos x="0" y="0"/>
            <wp:positionH relativeFrom="column">
              <wp:posOffset>48260</wp:posOffset>
            </wp:positionH>
            <wp:positionV relativeFrom="paragraph">
              <wp:posOffset>24765</wp:posOffset>
            </wp:positionV>
            <wp:extent cx="5591810" cy="3145155"/>
            <wp:effectExtent l="0" t="0" r="1270" b="9525"/>
            <wp:wrapTopAndBottom/>
            <wp:docPr id="4" name="图片 4" descr="0626c3dc6975584ac59537403010a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626c3dc6975584ac59537403010a9c"/>
                    <pic:cNvPicPr>
                      <a:picLocks noChangeAspect="1"/>
                    </pic:cNvPicPr>
                  </pic:nvPicPr>
                  <pic:blipFill>
                    <a:blip r:embed="rId11"/>
                    <a:stretch>
                      <a:fillRect/>
                    </a:stretch>
                  </pic:blipFill>
                  <pic:spPr>
                    <a:xfrm>
                      <a:off x="0" y="0"/>
                      <a:ext cx="5591810" cy="3145155"/>
                    </a:xfrm>
                    <a:prstGeom prst="rect">
                      <a:avLst/>
                    </a:prstGeom>
                  </pic:spPr>
                </pic:pic>
              </a:graphicData>
            </a:graphic>
          </wp:anchor>
        </w:drawing>
      </w:r>
      <w:r>
        <w:rPr>
          <w:rFonts w:hint="eastAsia"/>
          <w:highlight w:val="none"/>
          <w:lang w:val="en-US" w:eastAsia="zh-CN"/>
        </w:rPr>
        <w:t>图5 输料臂及末端软管图片</w:t>
      </w:r>
    </w:p>
    <w:p w14:paraId="21B66442">
      <w:pPr>
        <w:bidi w:val="0"/>
        <w:rPr>
          <w:rFonts w:hint="default" w:ascii="Times New Roman" w:hAnsi="Times New Roman" w:cs="Times New Roman"/>
          <w:highlight w:val="none"/>
          <w:lang w:val="en-US" w:eastAsia="zh-CN"/>
        </w:rPr>
      </w:pPr>
      <w:r>
        <w:rPr>
          <w:rFonts w:hint="default" w:ascii="Times New Roman" w:hAnsi="Times New Roman" w:cs="Times New Roman"/>
          <w:strike w:val="0"/>
          <w:dstrike w:val="0"/>
          <w:color w:val="auto"/>
          <w:highlight w:val="none"/>
          <w:lang w:val="en-US" w:eastAsia="zh-CN"/>
        </w:rPr>
        <w:t>事故</w:t>
      </w:r>
      <w:r>
        <w:rPr>
          <w:rFonts w:hint="default" w:ascii="Times New Roman" w:hAnsi="Times New Roman" w:eastAsia="仿宋_GB2312" w:cs="Times New Roman"/>
          <w:strike w:val="0"/>
          <w:dstrike w:val="0"/>
          <w:color w:val="auto"/>
          <w:highlight w:val="none"/>
          <w:lang w:val="en-US" w:eastAsia="zh-CN"/>
        </w:rPr>
        <w:t>现场</w:t>
      </w:r>
      <w:r>
        <w:rPr>
          <w:rFonts w:hint="default" w:ascii="Times New Roman" w:hAnsi="Times New Roman" w:eastAsia="仿宋_GB2312" w:cs="Times New Roman"/>
          <w:highlight w:val="none"/>
          <w:lang w:val="en-US" w:eastAsia="zh-CN"/>
        </w:rPr>
        <w:t>，</w:t>
      </w:r>
      <w:r>
        <w:rPr>
          <w:rFonts w:hint="default" w:ascii="Times New Roman" w:hAnsi="Times New Roman" w:eastAsia="仿宋_GB2312" w:cs="Times New Roman"/>
          <w:sz w:val="32"/>
          <w:szCs w:val="32"/>
          <w:highlight w:val="none"/>
          <w:lang w:val="en-US" w:eastAsia="zh-CN"/>
        </w:rPr>
        <w:t>型号</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XZJ5383THB，</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rPr>
        <w:t>外形尺寸(长</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rPr>
        <w:t>宽</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rPr>
        <w:t>高)12665</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rPr>
        <w:t>2500</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rPr>
        <w:t>3990</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mm的混凝土</w:t>
      </w:r>
      <w:r>
        <w:rPr>
          <w:rFonts w:hint="default" w:ascii="Times New Roman" w:hAnsi="Times New Roman" w:eastAsia="仿宋_GB2312" w:cs="Times New Roman"/>
          <w:sz w:val="32"/>
          <w:szCs w:val="32"/>
          <w:highlight w:val="none"/>
          <w:lang w:val="en-US" w:eastAsia="zh-CN"/>
        </w:rPr>
        <w:t>泵车</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见</w:t>
      </w:r>
      <w:r>
        <w:rPr>
          <w:rFonts w:hint="default" w:ascii="Times New Roman" w:hAnsi="Times New Roman" w:eastAsia="仿宋_GB2312" w:cs="Times New Roman"/>
          <w:sz w:val="32"/>
          <w:szCs w:val="32"/>
          <w:highlight w:val="none"/>
        </w:rPr>
        <w:t>图</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highlight w:val="none"/>
          <w:lang w:val="en-US" w:eastAsia="zh-CN"/>
        </w:rPr>
        <w:t>四个支腿全部打开，右前支腿陷入泥土中900mm，泵车车身倾斜，输料臂被全部伸展开，输料臂后端部掉落在高约3550mm</w:t>
      </w:r>
      <w:r>
        <w:rPr>
          <w:rFonts w:hint="default" w:ascii="Times New Roman" w:hAnsi="Times New Roman" w:cs="Times New Roman"/>
          <w:highlight w:val="none"/>
          <w:lang w:val="en-US" w:eastAsia="zh-CN"/>
        </w:rPr>
        <w:t>车库门口框架上方，输料臂软管长度3000mm（见图5）。</w:t>
      </w:r>
    </w:p>
    <w:p w14:paraId="3FD63F2D">
      <w:pPr>
        <w:pStyle w:val="3"/>
        <w:bidi w:val="0"/>
        <w:rPr>
          <w:rFonts w:hint="eastAsia"/>
          <w:highlight w:val="none"/>
        </w:rPr>
      </w:pPr>
      <w:bookmarkStart w:id="63" w:name="_Toc6784"/>
      <w:bookmarkStart w:id="64" w:name="_Toc3493"/>
      <w:bookmarkStart w:id="65" w:name="_Toc3523"/>
      <w:bookmarkStart w:id="66" w:name="_Toc16197"/>
      <w:bookmarkStart w:id="67" w:name="_Toc8292"/>
      <w:bookmarkStart w:id="68" w:name="_Toc19272"/>
      <w:bookmarkStart w:id="69" w:name="_Toc1955"/>
      <w:bookmarkStart w:id="70" w:name="_Toc2472"/>
      <w:r>
        <w:rPr>
          <w:rFonts w:hint="eastAsia"/>
          <w:highlight w:val="none"/>
          <w:lang w:eastAsia="zh-CN"/>
        </w:rPr>
        <w:t>（</w:t>
      </w:r>
      <w:r>
        <w:rPr>
          <w:rFonts w:hint="eastAsia"/>
          <w:highlight w:val="none"/>
          <w:lang w:val="en-US" w:eastAsia="zh-CN"/>
        </w:rPr>
        <w:t>七</w:t>
      </w:r>
      <w:r>
        <w:rPr>
          <w:rFonts w:hint="eastAsia"/>
          <w:highlight w:val="none"/>
          <w:lang w:eastAsia="zh-CN"/>
        </w:rPr>
        <w:t>）</w:t>
      </w:r>
      <w:r>
        <w:rPr>
          <w:rFonts w:hint="eastAsia"/>
          <w:highlight w:val="none"/>
        </w:rPr>
        <w:t>事故造成的伤亡人数和直接经济损失</w:t>
      </w:r>
      <w:bookmarkEnd w:id="63"/>
      <w:bookmarkEnd w:id="64"/>
      <w:bookmarkEnd w:id="65"/>
      <w:bookmarkEnd w:id="66"/>
      <w:bookmarkEnd w:id="67"/>
      <w:bookmarkEnd w:id="68"/>
      <w:bookmarkEnd w:id="69"/>
      <w:bookmarkEnd w:id="70"/>
    </w:p>
    <w:p w14:paraId="71FE8926">
      <w:pPr>
        <w:bidi w:val="0"/>
        <w:rPr>
          <w:rFonts w:hint="eastAsia"/>
          <w:highlight w:val="none"/>
        </w:rPr>
      </w:pPr>
      <w:r>
        <w:rPr>
          <w:rFonts w:hint="eastAsia"/>
          <w:highlight w:val="none"/>
        </w:rPr>
        <w:t>该事故造成</w:t>
      </w:r>
      <w:r>
        <w:rPr>
          <w:rFonts w:hint="eastAsia"/>
          <w:highlight w:val="none"/>
          <w:lang w:val="en-US" w:eastAsia="zh-CN"/>
        </w:rPr>
        <w:t>2</w:t>
      </w:r>
      <w:r>
        <w:rPr>
          <w:rFonts w:hint="eastAsia"/>
          <w:highlight w:val="none"/>
        </w:rPr>
        <w:t>人死亡</w:t>
      </w:r>
      <w:r>
        <w:rPr>
          <w:rFonts w:hint="eastAsia"/>
          <w:highlight w:val="none"/>
          <w:lang w:eastAsia="zh-CN"/>
        </w:rPr>
        <w:t>（</w:t>
      </w:r>
      <w:r>
        <w:rPr>
          <w:rFonts w:hint="eastAsia"/>
          <w:highlight w:val="none"/>
          <w:lang w:val="en-US" w:eastAsia="zh-CN"/>
        </w:rPr>
        <w:t>侯</w:t>
      </w:r>
      <w:r>
        <w:rPr>
          <w:rFonts w:hint="eastAsia" w:ascii="仿宋_GB2312" w:hAnsi="仿宋_GB2312" w:eastAsia="仿宋_GB2312" w:cs="仿宋_GB2312"/>
          <w:highlight w:val="none"/>
          <w:lang w:val="en-US" w:eastAsia="zh-CN"/>
        </w:rPr>
        <w:t>**</w:t>
      </w:r>
      <w:r>
        <w:rPr>
          <w:rFonts w:hint="eastAsia"/>
          <w:highlight w:val="none"/>
          <w:lang w:val="en-US" w:eastAsia="zh-CN"/>
        </w:rPr>
        <w:t>、罗</w:t>
      </w:r>
      <w:r>
        <w:rPr>
          <w:rFonts w:hint="eastAsia" w:ascii="仿宋_GB2312" w:hAnsi="仿宋_GB2312" w:eastAsia="仿宋_GB2312" w:cs="仿宋_GB2312"/>
          <w:highlight w:val="none"/>
          <w:lang w:val="en-US" w:eastAsia="zh-CN"/>
        </w:rPr>
        <w:t>**</w:t>
      </w:r>
      <w:r>
        <w:rPr>
          <w:rFonts w:hint="eastAsia"/>
          <w:highlight w:val="none"/>
          <w:lang w:eastAsia="zh-CN"/>
        </w:rPr>
        <w:t>）</w:t>
      </w:r>
      <w:r>
        <w:rPr>
          <w:rFonts w:hint="eastAsia"/>
          <w:highlight w:val="none"/>
        </w:rPr>
        <w:t>，直接经济损失约</w:t>
      </w:r>
      <w:r>
        <w:rPr>
          <w:rFonts w:hint="eastAsia"/>
          <w:highlight w:val="none"/>
          <w:lang w:val="en-US" w:eastAsia="zh-CN"/>
        </w:rPr>
        <w:t>286</w:t>
      </w:r>
      <w:r>
        <w:rPr>
          <w:rFonts w:hint="eastAsia"/>
          <w:highlight w:val="none"/>
        </w:rPr>
        <w:t>万元。</w:t>
      </w:r>
    </w:p>
    <w:p w14:paraId="42C1CC92">
      <w:pPr>
        <w:numPr>
          <w:ilvl w:val="0"/>
          <w:numId w:val="0"/>
        </w:numPr>
        <w:bidi w:val="0"/>
        <w:ind w:firstLine="643" w:firstLineChars="200"/>
        <w:outlineLvl w:val="1"/>
        <w:rPr>
          <w:rFonts w:hint="eastAsia" w:ascii="Times New Roman" w:hAnsi="Times New Roman" w:eastAsia="楷体_GB2312" w:cs="楷体_GB2312"/>
          <w:b/>
          <w:kern w:val="0"/>
          <w:sz w:val="32"/>
          <w:szCs w:val="21"/>
          <w:highlight w:val="none"/>
          <w:lang w:val="en-US" w:eastAsia="zh-CN" w:bidi="ar-SA"/>
        </w:rPr>
      </w:pPr>
      <w:bookmarkStart w:id="71" w:name="_Toc2692"/>
      <w:r>
        <w:rPr>
          <w:rFonts w:hint="eastAsia" w:ascii="Times New Roman" w:hAnsi="Times New Roman" w:eastAsia="楷体_GB2312" w:cs="楷体_GB2312"/>
          <w:b/>
          <w:kern w:val="0"/>
          <w:sz w:val="32"/>
          <w:szCs w:val="21"/>
          <w:highlight w:val="none"/>
          <w:lang w:val="en-US" w:eastAsia="zh-CN" w:bidi="ar-SA"/>
        </w:rPr>
        <w:t>（八）其他情况</w:t>
      </w:r>
      <w:bookmarkEnd w:id="71"/>
    </w:p>
    <w:p w14:paraId="3F74EDC9">
      <w:pPr>
        <w:bidi w:val="0"/>
        <w:rPr>
          <w:rFonts w:hint="eastAsia" w:ascii="Times New Roman" w:hAnsi="Times New Roman" w:eastAsia="仿宋_GB2312" w:cs="Times New Roman"/>
          <w:color w:val="auto"/>
          <w:highlight w:val="none"/>
          <w:lang w:val="en-US" w:eastAsia="zh-CN"/>
        </w:rPr>
      </w:pPr>
      <w:r>
        <w:rPr>
          <w:rFonts w:hint="eastAsia" w:ascii="Times New Roman" w:hAnsi="Times New Roman" w:eastAsia="仿宋_GB2312" w:cs="Times New Roman"/>
          <w:color w:val="auto"/>
          <w:highlight w:val="none"/>
          <w:lang w:val="en-US" w:eastAsia="zh-CN"/>
        </w:rPr>
        <w:t>事发当日天气晴好，当地未发生地震、火山喷发、山体崩塌、地裂缝、坍塌等地质灾害</w:t>
      </w:r>
      <w:r>
        <w:rPr>
          <w:rFonts w:hint="eastAsia" w:cs="Times New Roman"/>
          <w:color w:val="auto"/>
          <w:highlight w:val="none"/>
          <w:lang w:val="en-US" w:eastAsia="zh-CN"/>
        </w:rPr>
        <w:t>。</w:t>
      </w:r>
      <w:r>
        <w:rPr>
          <w:rFonts w:hint="eastAsia" w:ascii="Times New Roman" w:hAnsi="Times New Roman" w:eastAsia="仿宋_GB2312" w:cs="Times New Roman"/>
          <w:color w:val="auto"/>
          <w:highlight w:val="none"/>
          <w:lang w:val="en-US" w:eastAsia="zh-CN"/>
        </w:rPr>
        <w:t>经现场勘察，未发现疾病发作、他杀等痕迹。</w:t>
      </w:r>
    </w:p>
    <w:p w14:paraId="2A065327">
      <w:pPr>
        <w:pStyle w:val="2"/>
        <w:bidi w:val="0"/>
        <w:rPr>
          <w:rFonts w:hint="default"/>
          <w:highlight w:val="none"/>
          <w:lang w:val="en-US" w:eastAsia="zh-CN"/>
        </w:rPr>
      </w:pPr>
      <w:bookmarkStart w:id="72" w:name="_Toc20861"/>
      <w:bookmarkStart w:id="73" w:name="_Toc20151"/>
      <w:bookmarkStart w:id="74" w:name="_Toc27950"/>
      <w:bookmarkStart w:id="75" w:name="_Toc6612"/>
      <w:bookmarkStart w:id="76" w:name="_Toc5824"/>
      <w:bookmarkStart w:id="77" w:name="_Toc18795"/>
      <w:bookmarkStart w:id="78" w:name="_Toc7162"/>
      <w:bookmarkStart w:id="79" w:name="_Toc32020"/>
      <w:r>
        <w:rPr>
          <w:rFonts w:hint="eastAsia"/>
          <w:highlight w:val="none"/>
          <w:lang w:val="en-US" w:eastAsia="zh-CN"/>
        </w:rPr>
        <w:t>二</w:t>
      </w:r>
      <w:r>
        <w:rPr>
          <w:rFonts w:hint="eastAsia"/>
          <w:highlight w:val="none"/>
          <w:lang w:eastAsia="zh-CN"/>
        </w:rPr>
        <w:t>、</w:t>
      </w:r>
      <w:r>
        <w:rPr>
          <w:rFonts w:hint="eastAsia"/>
          <w:highlight w:val="none"/>
          <w:lang w:val="en-US" w:eastAsia="zh-CN"/>
        </w:rPr>
        <w:t>事故应急处置及评估情况</w:t>
      </w:r>
      <w:bookmarkEnd w:id="72"/>
      <w:bookmarkEnd w:id="73"/>
      <w:bookmarkEnd w:id="74"/>
      <w:bookmarkEnd w:id="75"/>
      <w:bookmarkEnd w:id="76"/>
      <w:bookmarkEnd w:id="77"/>
      <w:bookmarkEnd w:id="78"/>
      <w:bookmarkEnd w:id="79"/>
    </w:p>
    <w:p w14:paraId="7B831CC5">
      <w:pPr>
        <w:pStyle w:val="3"/>
        <w:bidi w:val="0"/>
        <w:rPr>
          <w:rFonts w:hint="eastAsia"/>
          <w:highlight w:val="none"/>
          <w:lang w:val="en-US" w:eastAsia="zh-CN"/>
        </w:rPr>
      </w:pPr>
      <w:bookmarkStart w:id="80" w:name="_Toc23668"/>
      <w:bookmarkStart w:id="81" w:name="_Toc25339"/>
      <w:bookmarkStart w:id="82" w:name="_Toc13396"/>
      <w:bookmarkStart w:id="83" w:name="_Toc24209"/>
      <w:bookmarkStart w:id="84" w:name="_Toc28514"/>
      <w:bookmarkStart w:id="85" w:name="_Toc31366"/>
      <w:bookmarkStart w:id="86" w:name="_Toc26073"/>
      <w:bookmarkStart w:id="87" w:name="_Toc6100"/>
      <w:r>
        <w:rPr>
          <w:rFonts w:hint="eastAsia"/>
          <w:highlight w:val="none"/>
          <w:lang w:val="en-US" w:eastAsia="zh-CN"/>
        </w:rPr>
        <w:t>（一）事故信息接报情况</w:t>
      </w:r>
      <w:bookmarkEnd w:id="80"/>
      <w:bookmarkEnd w:id="81"/>
      <w:bookmarkEnd w:id="82"/>
      <w:bookmarkEnd w:id="83"/>
      <w:bookmarkEnd w:id="84"/>
      <w:bookmarkEnd w:id="85"/>
      <w:bookmarkEnd w:id="86"/>
      <w:bookmarkEnd w:id="87"/>
    </w:p>
    <w:p w14:paraId="2B3ADE78">
      <w:pPr>
        <w:bidi w:val="0"/>
        <w:rPr>
          <w:rFonts w:hint="eastAsia"/>
          <w:highlight w:val="none"/>
          <w:lang w:val="en-US" w:eastAsia="zh-CN"/>
        </w:rPr>
      </w:pPr>
      <w:r>
        <w:rPr>
          <w:rFonts w:hint="eastAsia"/>
          <w:highlight w:val="none"/>
          <w:lang w:val="en-US" w:eastAsia="zh-CN"/>
        </w:rPr>
        <w:t>9时40分，于</w:t>
      </w:r>
      <w:r>
        <w:rPr>
          <w:rFonts w:hint="eastAsia" w:ascii="仿宋_GB2312" w:hAnsi="仿宋_GB2312" w:eastAsia="仿宋_GB2312" w:cs="仿宋_GB2312"/>
          <w:highlight w:val="none"/>
          <w:lang w:val="en-US" w:eastAsia="zh-CN"/>
        </w:rPr>
        <w:t>**</w:t>
      </w:r>
      <w:r>
        <w:rPr>
          <w:rFonts w:hint="eastAsia"/>
          <w:highlight w:val="none"/>
          <w:lang w:val="en-US" w:eastAsia="zh-CN"/>
        </w:rPr>
        <w:t>拨打电话向董</w:t>
      </w:r>
      <w:r>
        <w:rPr>
          <w:rFonts w:hint="eastAsia" w:ascii="仿宋_GB2312" w:hAnsi="仿宋_GB2312" w:eastAsia="仿宋_GB2312" w:cs="仿宋_GB2312"/>
          <w:highlight w:val="none"/>
          <w:lang w:val="en-US" w:eastAsia="zh-CN"/>
        </w:rPr>
        <w:t>**</w:t>
      </w:r>
      <w:r>
        <w:rPr>
          <w:rFonts w:hint="eastAsia"/>
          <w:highlight w:val="none"/>
          <w:lang w:val="en-US" w:eastAsia="zh-CN"/>
        </w:rPr>
        <w:t>报告事故情况，建科建设总经理黄</w:t>
      </w:r>
      <w:r>
        <w:rPr>
          <w:rFonts w:hint="eastAsia" w:ascii="仿宋_GB2312" w:hAnsi="仿宋_GB2312" w:eastAsia="仿宋_GB2312" w:cs="仿宋_GB2312"/>
          <w:highlight w:val="none"/>
          <w:lang w:val="en-US" w:eastAsia="zh-CN"/>
        </w:rPr>
        <w:t>**</w:t>
      </w:r>
      <w:r>
        <w:rPr>
          <w:rFonts w:hint="eastAsia"/>
          <w:highlight w:val="none"/>
          <w:lang w:val="en-US" w:eastAsia="zh-CN"/>
        </w:rPr>
        <w:t>与董</w:t>
      </w:r>
      <w:r>
        <w:rPr>
          <w:rFonts w:hint="eastAsia" w:ascii="仿宋_GB2312" w:hAnsi="仿宋_GB2312" w:eastAsia="仿宋_GB2312" w:cs="仿宋_GB2312"/>
          <w:highlight w:val="none"/>
          <w:lang w:val="en-US" w:eastAsia="zh-CN"/>
        </w:rPr>
        <w:t>**</w:t>
      </w:r>
      <w:r>
        <w:rPr>
          <w:rFonts w:hint="eastAsia"/>
          <w:highlight w:val="none"/>
          <w:lang w:val="en-US" w:eastAsia="zh-CN"/>
        </w:rPr>
        <w:t>立即赶往事故现场；9时39分，现场工人打电话报告刘</w:t>
      </w:r>
      <w:r>
        <w:rPr>
          <w:rFonts w:hint="eastAsia" w:ascii="仿宋_GB2312" w:hAnsi="仿宋_GB2312" w:eastAsia="仿宋_GB2312" w:cs="仿宋_GB2312"/>
          <w:highlight w:val="none"/>
          <w:lang w:val="en-US" w:eastAsia="zh-CN"/>
        </w:rPr>
        <w:t>**</w:t>
      </w:r>
      <w:r>
        <w:rPr>
          <w:rFonts w:hint="eastAsia"/>
          <w:highlight w:val="none"/>
          <w:lang w:val="en-US" w:eastAsia="zh-CN"/>
        </w:rPr>
        <w:t>；接到报告后刘</w:t>
      </w:r>
      <w:r>
        <w:rPr>
          <w:rFonts w:hint="eastAsia" w:ascii="仿宋_GB2312" w:hAnsi="仿宋_GB2312" w:eastAsia="仿宋_GB2312" w:cs="仿宋_GB2312"/>
          <w:highlight w:val="none"/>
          <w:lang w:val="en-US" w:eastAsia="zh-CN"/>
        </w:rPr>
        <w:t>**</w:t>
      </w:r>
      <w:r>
        <w:rPr>
          <w:rFonts w:hint="eastAsia"/>
          <w:highlight w:val="none"/>
          <w:lang w:val="en-US" w:eastAsia="zh-CN"/>
        </w:rPr>
        <w:t>立即拨打电话报告双子建设总经理李</w:t>
      </w:r>
      <w:r>
        <w:rPr>
          <w:rFonts w:hint="eastAsia" w:ascii="仿宋_GB2312" w:hAnsi="仿宋_GB2312" w:eastAsia="仿宋_GB2312" w:cs="仿宋_GB2312"/>
          <w:highlight w:val="none"/>
          <w:lang w:val="en-US" w:eastAsia="zh-CN"/>
        </w:rPr>
        <w:t>**</w:t>
      </w:r>
      <w:r>
        <w:rPr>
          <w:rFonts w:hint="eastAsia"/>
          <w:highlight w:val="none"/>
          <w:lang w:val="en-US" w:eastAsia="zh-CN"/>
        </w:rPr>
        <w:t>，李</w:t>
      </w:r>
      <w:r>
        <w:rPr>
          <w:rFonts w:hint="eastAsia" w:ascii="仿宋_GB2312" w:hAnsi="仿宋_GB2312" w:eastAsia="仿宋_GB2312" w:cs="仿宋_GB2312"/>
          <w:highlight w:val="none"/>
          <w:lang w:val="en-US" w:eastAsia="zh-CN"/>
        </w:rPr>
        <w:t>**</w:t>
      </w:r>
      <w:r>
        <w:rPr>
          <w:rFonts w:hint="eastAsia"/>
          <w:highlight w:val="none"/>
          <w:lang w:val="en-US" w:eastAsia="zh-CN"/>
        </w:rPr>
        <w:t>立刻前往事故现场；9点40分，现场工人打电话报告森霆置业项目经理李</w:t>
      </w:r>
      <w:r>
        <w:rPr>
          <w:rFonts w:hint="eastAsia" w:ascii="仿宋_GB2312" w:hAnsi="仿宋_GB2312" w:eastAsia="仿宋_GB2312" w:cs="仿宋_GB2312"/>
          <w:highlight w:val="none"/>
          <w:lang w:val="en-US" w:eastAsia="zh-CN"/>
        </w:rPr>
        <w:t>*</w:t>
      </w:r>
      <w:r>
        <w:rPr>
          <w:rFonts w:hint="eastAsia"/>
          <w:highlight w:val="none"/>
          <w:lang w:val="en-US" w:eastAsia="zh-CN"/>
        </w:rPr>
        <w:t>；</w:t>
      </w:r>
      <w:r>
        <w:rPr>
          <w:rFonts w:hint="eastAsia"/>
          <w:highlight w:val="none"/>
          <w:lang w:eastAsia="zh-CN"/>
        </w:rPr>
        <w:t>9</w:t>
      </w:r>
      <w:r>
        <w:rPr>
          <w:rFonts w:hint="eastAsia"/>
          <w:highlight w:val="none"/>
          <w:lang w:val="en-US" w:eastAsia="zh-CN"/>
        </w:rPr>
        <w:t>时</w:t>
      </w:r>
      <w:r>
        <w:rPr>
          <w:rFonts w:hint="eastAsia"/>
          <w:highlight w:val="none"/>
          <w:lang w:eastAsia="zh-CN"/>
        </w:rPr>
        <w:t>56</w:t>
      </w:r>
      <w:r>
        <w:rPr>
          <w:rFonts w:hint="eastAsia"/>
          <w:highlight w:val="none"/>
          <w:lang w:val="en-US" w:eastAsia="zh-CN"/>
        </w:rPr>
        <w:t>分，李</w:t>
      </w:r>
      <w:r>
        <w:rPr>
          <w:rFonts w:hint="eastAsia" w:ascii="仿宋_GB2312" w:hAnsi="仿宋_GB2312" w:eastAsia="仿宋_GB2312" w:cs="仿宋_GB2312"/>
          <w:highlight w:val="none"/>
          <w:lang w:val="en-US" w:eastAsia="zh-CN"/>
        </w:rPr>
        <w:t>*</w:t>
      </w:r>
      <w:r>
        <w:rPr>
          <w:rFonts w:hint="eastAsia"/>
          <w:highlight w:val="none"/>
          <w:lang w:val="en-US" w:eastAsia="zh-CN"/>
        </w:rPr>
        <w:t>拨打110</w:t>
      </w:r>
      <w:r>
        <w:rPr>
          <w:rFonts w:hint="eastAsia"/>
          <w:highlight w:val="none"/>
          <w:lang w:eastAsia="zh-CN"/>
        </w:rPr>
        <w:t>报警电话，</w:t>
      </w:r>
      <w:r>
        <w:rPr>
          <w:rFonts w:hint="eastAsia"/>
          <w:highlight w:val="none"/>
          <w:lang w:val="en-US" w:eastAsia="zh-CN"/>
        </w:rPr>
        <w:t>盛泉派出所工作人员立即赶往现场。</w:t>
      </w:r>
    </w:p>
    <w:p w14:paraId="28348CA2">
      <w:pPr>
        <w:bidi w:val="0"/>
        <w:rPr>
          <w:rFonts w:hint="default"/>
          <w:highlight w:val="none"/>
          <w:lang w:val="en-US" w:eastAsia="zh-CN"/>
        </w:rPr>
      </w:pPr>
      <w:r>
        <w:rPr>
          <w:rFonts w:hint="eastAsia"/>
          <w:highlight w:val="none"/>
          <w:lang w:val="en-US" w:eastAsia="zh-CN"/>
        </w:rPr>
        <w:t>10时04分，李</w:t>
      </w:r>
      <w:r>
        <w:rPr>
          <w:rFonts w:hint="eastAsia" w:ascii="仿宋_GB2312" w:hAnsi="仿宋_GB2312" w:eastAsia="仿宋_GB2312" w:cs="仿宋_GB2312"/>
          <w:highlight w:val="none"/>
          <w:lang w:val="en-US" w:eastAsia="zh-CN"/>
        </w:rPr>
        <w:t>*</w:t>
      </w:r>
      <w:r>
        <w:rPr>
          <w:rFonts w:hint="eastAsia"/>
          <w:highlight w:val="none"/>
          <w:lang w:val="en-US" w:eastAsia="zh-CN"/>
        </w:rPr>
        <w:t>向区住建局报告；</w:t>
      </w:r>
      <w:r>
        <w:rPr>
          <w:rFonts w:hint="eastAsia"/>
          <w:highlight w:val="none"/>
          <w:lang w:eastAsia="zh-CN"/>
        </w:rPr>
        <w:t>10</w:t>
      </w:r>
      <w:r>
        <w:rPr>
          <w:rFonts w:hint="eastAsia"/>
          <w:highlight w:val="none"/>
          <w:lang w:val="en-US" w:eastAsia="zh-CN"/>
        </w:rPr>
        <w:t>时</w:t>
      </w:r>
      <w:r>
        <w:rPr>
          <w:rFonts w:hint="eastAsia"/>
          <w:highlight w:val="none"/>
          <w:lang w:eastAsia="zh-CN"/>
        </w:rPr>
        <w:t>42</w:t>
      </w:r>
      <w:r>
        <w:rPr>
          <w:rFonts w:hint="eastAsia"/>
          <w:highlight w:val="none"/>
          <w:lang w:val="en-US" w:eastAsia="zh-CN"/>
        </w:rPr>
        <w:t>分，区住建局向区应急局报告事故情况；区应急局初步核实事故情况后，11时19分起，逐级向区政府、烟台市应急管理局报告，12时07分，完成系统上报流程。</w:t>
      </w:r>
    </w:p>
    <w:p w14:paraId="29969D44">
      <w:pPr>
        <w:pStyle w:val="3"/>
        <w:bidi w:val="0"/>
        <w:rPr>
          <w:rFonts w:hint="default"/>
          <w:highlight w:val="none"/>
          <w:lang w:val="en-US" w:eastAsia="zh-CN"/>
        </w:rPr>
      </w:pPr>
      <w:bookmarkStart w:id="88" w:name="_Toc8937"/>
      <w:bookmarkStart w:id="89" w:name="_Toc4177"/>
      <w:bookmarkStart w:id="90" w:name="_Toc5718"/>
      <w:bookmarkStart w:id="91" w:name="_Toc19363"/>
      <w:bookmarkStart w:id="92" w:name="_Toc31149"/>
      <w:bookmarkStart w:id="93" w:name="_Toc10933"/>
      <w:bookmarkStart w:id="94" w:name="_Toc22538"/>
      <w:bookmarkStart w:id="95" w:name="_Toc4652"/>
      <w:r>
        <w:rPr>
          <w:rFonts w:hint="eastAsia"/>
          <w:highlight w:val="none"/>
          <w:lang w:val="en-US" w:eastAsia="zh-CN"/>
        </w:rPr>
        <w:t>（二）应急处置情况</w:t>
      </w:r>
      <w:bookmarkEnd w:id="88"/>
      <w:bookmarkEnd w:id="89"/>
      <w:bookmarkEnd w:id="90"/>
      <w:bookmarkEnd w:id="91"/>
      <w:bookmarkEnd w:id="92"/>
      <w:bookmarkEnd w:id="93"/>
      <w:bookmarkEnd w:id="94"/>
      <w:bookmarkEnd w:id="95"/>
    </w:p>
    <w:p w14:paraId="299F90F1">
      <w:pPr>
        <w:bidi w:val="0"/>
        <w:ind w:firstLine="640"/>
        <w:rPr>
          <w:rFonts w:hint="eastAsia"/>
          <w:highlight w:val="none"/>
          <w:lang w:val="en-US" w:eastAsia="zh-CN"/>
        </w:rPr>
      </w:pPr>
      <w:r>
        <w:rPr>
          <w:rFonts w:hint="eastAsia"/>
          <w:highlight w:val="none"/>
          <w:lang w:val="en-US" w:eastAsia="zh-CN"/>
        </w:rPr>
        <w:t>9月24日9时37分，于</w:t>
      </w:r>
      <w:r>
        <w:rPr>
          <w:rFonts w:hint="eastAsia" w:ascii="仿宋_GB2312" w:hAnsi="仿宋_GB2312" w:eastAsia="仿宋_GB2312" w:cs="仿宋_GB2312"/>
          <w:highlight w:val="none"/>
          <w:lang w:val="en-US" w:eastAsia="zh-CN"/>
        </w:rPr>
        <w:t>**</w:t>
      </w:r>
      <w:r>
        <w:rPr>
          <w:rFonts w:hint="eastAsia"/>
          <w:highlight w:val="none"/>
          <w:lang w:val="en-US" w:eastAsia="zh-CN"/>
        </w:rPr>
        <w:t>拨打了120电话，120医护人员于9时47分到达事故现场，经检查确认侯</w:t>
      </w:r>
      <w:r>
        <w:rPr>
          <w:rFonts w:hint="eastAsia" w:ascii="仿宋_GB2312" w:hAnsi="仿宋_GB2312" w:eastAsia="仿宋_GB2312" w:cs="仿宋_GB2312"/>
          <w:highlight w:val="none"/>
          <w:lang w:val="en-US" w:eastAsia="zh-CN"/>
        </w:rPr>
        <w:t>**</w:t>
      </w:r>
      <w:r>
        <w:rPr>
          <w:rFonts w:hint="eastAsia"/>
          <w:highlight w:val="none"/>
          <w:lang w:val="en-US" w:eastAsia="zh-CN"/>
        </w:rPr>
        <w:t>、罗</w:t>
      </w:r>
      <w:r>
        <w:rPr>
          <w:rFonts w:hint="eastAsia" w:ascii="仿宋_GB2312" w:hAnsi="仿宋_GB2312" w:eastAsia="仿宋_GB2312" w:cs="仿宋_GB2312"/>
          <w:highlight w:val="none"/>
          <w:lang w:val="en-US" w:eastAsia="zh-CN"/>
        </w:rPr>
        <w:t>**</w:t>
      </w:r>
      <w:r>
        <w:rPr>
          <w:rFonts w:hint="eastAsia"/>
          <w:highlight w:val="none"/>
          <w:lang w:val="en-US" w:eastAsia="zh-CN"/>
        </w:rPr>
        <w:t>已无生命体征。双子建设停止浇筑作业，并对事发现场采取警戒措施，维护现场秩序，保护事故现场和相关证据，通知昌宏劳务负责人李</w:t>
      </w:r>
      <w:r>
        <w:rPr>
          <w:rFonts w:hint="eastAsia" w:ascii="仿宋_GB2312" w:hAnsi="仿宋_GB2312" w:eastAsia="仿宋_GB2312" w:cs="仿宋_GB2312"/>
          <w:highlight w:val="none"/>
          <w:lang w:val="en-US" w:eastAsia="zh-CN"/>
        </w:rPr>
        <w:t>**</w:t>
      </w:r>
      <w:r>
        <w:rPr>
          <w:rFonts w:hint="eastAsia"/>
          <w:highlight w:val="none"/>
          <w:lang w:val="en-US" w:eastAsia="zh-CN"/>
        </w:rPr>
        <w:t>，联系死者家属。</w:t>
      </w:r>
    </w:p>
    <w:p w14:paraId="08199A1A">
      <w:pPr>
        <w:bidi w:val="0"/>
        <w:ind w:firstLine="640"/>
        <w:rPr>
          <w:rFonts w:hint="eastAsia"/>
          <w:highlight w:val="none"/>
          <w:lang w:val="en-US" w:eastAsia="zh-CN"/>
        </w:rPr>
      </w:pPr>
      <w:r>
        <w:rPr>
          <w:rFonts w:hint="eastAsia"/>
          <w:highlight w:val="none"/>
          <w:lang w:val="en-US" w:eastAsia="zh-CN"/>
        </w:rPr>
        <w:t>接到事故报告后，市住建局、</w:t>
      </w:r>
      <w:r>
        <w:rPr>
          <w:rFonts w:hint="eastAsia" w:eastAsia="仿宋_GB2312" w:cs="Times New Roman"/>
          <w:b w:val="0"/>
          <w:highlight w:val="none"/>
          <w:lang w:val="en-US" w:eastAsia="zh-CN"/>
        </w:rPr>
        <w:t>区应急</w:t>
      </w:r>
      <w:r>
        <w:rPr>
          <w:rFonts w:hint="eastAsia" w:cs="Times New Roman"/>
          <w:b w:val="0"/>
          <w:highlight w:val="none"/>
          <w:lang w:val="en-US" w:eastAsia="zh-CN"/>
        </w:rPr>
        <w:t>局</w:t>
      </w:r>
      <w:r>
        <w:rPr>
          <w:rFonts w:hint="eastAsia" w:eastAsia="仿宋_GB2312" w:cs="Times New Roman"/>
          <w:b w:val="0"/>
          <w:highlight w:val="none"/>
          <w:lang w:val="en-US" w:eastAsia="zh-CN"/>
        </w:rPr>
        <w:t>、区</w:t>
      </w:r>
      <w:r>
        <w:rPr>
          <w:rFonts w:hint="default" w:eastAsia="仿宋_GB2312" w:cs="Times New Roman"/>
          <w:b w:val="0"/>
          <w:highlight w:val="none"/>
          <w:lang w:val="en-US" w:eastAsia="zh-CN"/>
        </w:rPr>
        <w:t>住建局</w:t>
      </w:r>
      <w:r>
        <w:rPr>
          <w:rFonts w:hint="eastAsia" w:eastAsia="仿宋_GB2312" w:cs="Times New Roman"/>
          <w:b w:val="0"/>
          <w:highlight w:val="none"/>
          <w:lang w:val="en-US" w:eastAsia="zh-CN"/>
        </w:rPr>
        <w:t>、区卫健局、公安和莱山经开区</w:t>
      </w:r>
      <w:r>
        <w:rPr>
          <w:rFonts w:hint="default" w:eastAsia="仿宋_GB2312" w:cs="Times New Roman"/>
          <w:b w:val="0"/>
          <w:highlight w:val="none"/>
          <w:lang w:val="en-US" w:eastAsia="zh-CN"/>
        </w:rPr>
        <w:t>管委</w:t>
      </w:r>
      <w:r>
        <w:rPr>
          <w:rFonts w:hint="eastAsia" w:cs="Times New Roman"/>
          <w:b w:val="0"/>
          <w:highlight w:val="none"/>
          <w:lang w:val="en-US" w:eastAsia="zh-CN"/>
        </w:rPr>
        <w:t>等单位有关人员立即赶到现场，了解事故情况，组织事故善后处理工作。</w:t>
      </w:r>
    </w:p>
    <w:p w14:paraId="2CE5F69D">
      <w:pPr>
        <w:pStyle w:val="3"/>
        <w:bidi w:val="0"/>
        <w:rPr>
          <w:rFonts w:hint="eastAsia"/>
          <w:highlight w:val="none"/>
          <w:lang w:val="en-US" w:eastAsia="zh-CN"/>
        </w:rPr>
      </w:pPr>
      <w:bookmarkStart w:id="96" w:name="_Toc21310"/>
      <w:bookmarkStart w:id="97" w:name="_Toc14763"/>
      <w:bookmarkStart w:id="98" w:name="_Toc3252"/>
      <w:bookmarkStart w:id="99" w:name="_Toc6954"/>
      <w:bookmarkStart w:id="100" w:name="_Toc16517"/>
      <w:bookmarkStart w:id="101" w:name="_Toc20923"/>
      <w:bookmarkStart w:id="102" w:name="_Toc14285"/>
      <w:bookmarkStart w:id="103" w:name="_Toc27227"/>
      <w:r>
        <w:rPr>
          <w:rFonts w:hint="eastAsia"/>
          <w:highlight w:val="none"/>
          <w:lang w:val="en-US" w:eastAsia="zh-CN"/>
        </w:rPr>
        <w:t>（三）善后处置情况</w:t>
      </w:r>
      <w:bookmarkEnd w:id="96"/>
      <w:bookmarkEnd w:id="97"/>
      <w:bookmarkEnd w:id="98"/>
      <w:bookmarkEnd w:id="99"/>
      <w:bookmarkEnd w:id="100"/>
      <w:bookmarkEnd w:id="101"/>
      <w:bookmarkEnd w:id="102"/>
      <w:bookmarkEnd w:id="103"/>
    </w:p>
    <w:p w14:paraId="2B9E0E4A">
      <w:pPr>
        <w:bidi w:val="0"/>
        <w:rPr>
          <w:rFonts w:hint="eastAsia"/>
          <w:highlight w:val="none"/>
          <w:lang w:val="en-US" w:eastAsia="zh-CN"/>
        </w:rPr>
      </w:pPr>
      <w:r>
        <w:rPr>
          <w:rFonts w:hint="eastAsia"/>
          <w:highlight w:val="none"/>
          <w:lang w:val="en-US" w:eastAsia="zh-CN"/>
        </w:rPr>
        <w:t>2024年9月25日，建科建设、双子建设与侯</w:t>
      </w:r>
      <w:r>
        <w:rPr>
          <w:rFonts w:hint="eastAsia" w:ascii="仿宋_GB2312" w:hAnsi="仿宋_GB2312" w:eastAsia="仿宋_GB2312" w:cs="仿宋_GB2312"/>
          <w:highlight w:val="none"/>
          <w:lang w:val="en-US" w:eastAsia="zh-CN"/>
        </w:rPr>
        <w:t>**</w:t>
      </w:r>
      <w:r>
        <w:rPr>
          <w:rFonts w:hint="eastAsia"/>
          <w:highlight w:val="none"/>
          <w:lang w:val="en-US" w:eastAsia="zh-CN"/>
        </w:rPr>
        <w:t>家属、罗</w:t>
      </w:r>
      <w:r>
        <w:rPr>
          <w:rFonts w:hint="eastAsia" w:ascii="仿宋_GB2312" w:hAnsi="仿宋_GB2312" w:eastAsia="仿宋_GB2312" w:cs="仿宋_GB2312"/>
          <w:highlight w:val="none"/>
          <w:lang w:val="en-US" w:eastAsia="zh-CN"/>
        </w:rPr>
        <w:t>**</w:t>
      </w:r>
      <w:r>
        <w:rPr>
          <w:rFonts w:hint="eastAsia"/>
          <w:highlight w:val="none"/>
          <w:lang w:val="en-US" w:eastAsia="zh-CN"/>
        </w:rPr>
        <w:t>家属分别签署了《死亡赔偿协议书》，赔偿款项到位，死者已火化，善后工作结束，无不良社会影响。</w:t>
      </w:r>
    </w:p>
    <w:p w14:paraId="18237555">
      <w:pPr>
        <w:pStyle w:val="3"/>
        <w:numPr>
          <w:ilvl w:val="0"/>
          <w:numId w:val="0"/>
        </w:numPr>
        <w:bidi w:val="0"/>
        <w:ind w:firstLine="643" w:firstLineChars="200"/>
        <w:outlineLvl w:val="1"/>
        <w:rPr>
          <w:rFonts w:hint="eastAsia" w:ascii="黑体" w:hAnsi="黑体" w:eastAsia="黑体" w:cs="黑体"/>
          <w:b w:val="0"/>
          <w:bCs/>
          <w:highlight w:val="none"/>
          <w:lang w:val="en-US" w:eastAsia="zh-CN"/>
        </w:rPr>
      </w:pPr>
      <w:bookmarkStart w:id="104" w:name="_Toc13408"/>
      <w:bookmarkStart w:id="105" w:name="_Toc1449"/>
      <w:bookmarkStart w:id="106" w:name="_Toc5530"/>
      <w:bookmarkStart w:id="107" w:name="_Toc4362"/>
      <w:bookmarkStart w:id="108" w:name="_Toc16336"/>
      <w:bookmarkStart w:id="109" w:name="_Toc15929"/>
      <w:bookmarkStart w:id="110" w:name="_Toc19136"/>
      <w:bookmarkStart w:id="111" w:name="_Toc29800"/>
      <w:r>
        <w:rPr>
          <w:rFonts w:hint="eastAsia" w:ascii="Times New Roman" w:hAnsi="Times New Roman" w:eastAsia="楷体_GB2312" w:cs="楷体_GB2312"/>
          <w:b/>
          <w:kern w:val="2"/>
          <w:sz w:val="32"/>
          <w:szCs w:val="32"/>
          <w:highlight w:val="none"/>
          <w:lang w:val="en-US" w:eastAsia="zh-CN" w:bidi="ar-SA"/>
        </w:rPr>
        <w:t>（四）</w:t>
      </w:r>
      <w:r>
        <w:rPr>
          <w:rFonts w:hint="eastAsia"/>
          <w:highlight w:val="none"/>
          <w:lang w:val="en-US" w:eastAsia="zh-CN"/>
        </w:rPr>
        <w:t>事故应急处置评估</w:t>
      </w:r>
      <w:bookmarkEnd w:id="104"/>
      <w:bookmarkEnd w:id="105"/>
      <w:bookmarkEnd w:id="106"/>
      <w:bookmarkEnd w:id="107"/>
      <w:bookmarkEnd w:id="108"/>
      <w:bookmarkEnd w:id="109"/>
      <w:bookmarkEnd w:id="110"/>
      <w:bookmarkEnd w:id="111"/>
      <w:bookmarkStart w:id="112" w:name="_Toc32632"/>
      <w:bookmarkStart w:id="113" w:name="_Toc15303"/>
    </w:p>
    <w:p w14:paraId="2D217CCE">
      <w:pPr>
        <w:pStyle w:val="2"/>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lang w:val="en-US" w:eastAsia="zh-CN"/>
        </w:rPr>
      </w:pPr>
      <w:bookmarkStart w:id="114" w:name="_Toc6975"/>
      <w:r>
        <w:rPr>
          <w:rFonts w:hint="eastAsia" w:ascii="仿宋_GB2312" w:hAnsi="仿宋_GB2312" w:eastAsia="仿宋_GB2312" w:cs="仿宋_GB2312"/>
          <w:lang w:val="en-US" w:eastAsia="zh-CN"/>
        </w:rPr>
        <w:t>综合评估认为，事故发生后，区政府和有关部门高度重视，区应急局、区住建局、区卫健局、公安等部门和莱山经开区管委迅速响应、现场救援行动有序有效，救援过程中未发生次生、衍生事故；善后处置得当，未造成不良社会影响。</w:t>
      </w:r>
      <w:bookmarkEnd w:id="112"/>
      <w:bookmarkEnd w:id="113"/>
      <w:bookmarkStart w:id="115" w:name="_Toc5135"/>
      <w:bookmarkStart w:id="116" w:name="_Toc5643"/>
      <w:bookmarkStart w:id="117" w:name="_Toc16452"/>
      <w:bookmarkStart w:id="118" w:name="_Toc12755"/>
      <w:bookmarkStart w:id="119" w:name="_Toc12711"/>
      <w:bookmarkStart w:id="120" w:name="_Toc23975"/>
      <w:bookmarkStart w:id="121" w:name="_Toc14572"/>
    </w:p>
    <w:p w14:paraId="69A5FB75">
      <w:pPr>
        <w:pStyle w:val="2"/>
        <w:keepNext w:val="0"/>
        <w:keepLines w:val="0"/>
        <w:pageBreakBefore w:val="0"/>
        <w:widowControl w:val="0"/>
        <w:kinsoku/>
        <w:wordWrap/>
        <w:overflowPunct/>
        <w:topLinePunct w:val="0"/>
        <w:autoSpaceDE/>
        <w:autoSpaceDN/>
        <w:bidi w:val="0"/>
        <w:adjustRightInd/>
        <w:snapToGrid/>
        <w:textAlignment w:val="auto"/>
        <w:rPr>
          <w:rFonts w:hint="eastAsia"/>
          <w:highlight w:val="none"/>
          <w:lang w:val="en-US" w:eastAsia="zh-CN"/>
        </w:rPr>
      </w:pPr>
      <w:r>
        <w:rPr>
          <w:rFonts w:hint="eastAsia"/>
          <w:highlight w:val="none"/>
          <w:lang w:val="en-US" w:eastAsia="zh-CN"/>
        </w:rPr>
        <w:t>三</w:t>
      </w:r>
      <w:r>
        <w:rPr>
          <w:rFonts w:hint="eastAsia"/>
          <w:highlight w:val="none"/>
        </w:rPr>
        <w:t>、事故原因</w:t>
      </w:r>
      <w:r>
        <w:rPr>
          <w:rFonts w:hint="eastAsia"/>
          <w:highlight w:val="none"/>
          <w:lang w:val="en-US" w:eastAsia="zh-CN"/>
        </w:rPr>
        <w:t>分析</w:t>
      </w:r>
      <w:bookmarkEnd w:id="114"/>
      <w:bookmarkEnd w:id="115"/>
      <w:bookmarkEnd w:id="116"/>
      <w:bookmarkEnd w:id="117"/>
      <w:bookmarkEnd w:id="118"/>
      <w:bookmarkEnd w:id="119"/>
      <w:bookmarkEnd w:id="120"/>
      <w:bookmarkEnd w:id="121"/>
    </w:p>
    <w:p w14:paraId="163DD39A">
      <w:pPr>
        <w:pStyle w:val="3"/>
        <w:bidi w:val="0"/>
        <w:rPr>
          <w:rFonts w:hint="eastAsia" w:eastAsia="楷体_GB2312"/>
          <w:highlight w:val="none"/>
          <w:lang w:val="en-US" w:eastAsia="zh-CN"/>
        </w:rPr>
      </w:pPr>
      <w:bookmarkStart w:id="122" w:name="_Toc621"/>
      <w:bookmarkStart w:id="123" w:name="_Toc2621"/>
      <w:bookmarkStart w:id="124" w:name="_Toc1946"/>
      <w:bookmarkStart w:id="125" w:name="_Toc18206"/>
      <w:bookmarkStart w:id="126" w:name="_Toc31164"/>
      <w:bookmarkStart w:id="127" w:name="_Toc367"/>
      <w:bookmarkStart w:id="128" w:name="_Toc10792"/>
      <w:bookmarkStart w:id="129" w:name="_Toc26431"/>
      <w:r>
        <w:rPr>
          <w:rFonts w:hint="eastAsia"/>
          <w:highlight w:val="none"/>
        </w:rPr>
        <w:t>（一）直接原因</w:t>
      </w:r>
      <w:r>
        <w:rPr>
          <w:rFonts w:hint="eastAsia"/>
          <w:highlight w:val="none"/>
          <w:lang w:val="en-US" w:eastAsia="zh-CN"/>
        </w:rPr>
        <w:t>分析</w:t>
      </w:r>
      <w:bookmarkEnd w:id="122"/>
      <w:bookmarkEnd w:id="123"/>
      <w:bookmarkEnd w:id="124"/>
      <w:bookmarkEnd w:id="125"/>
      <w:bookmarkEnd w:id="126"/>
      <w:bookmarkEnd w:id="127"/>
      <w:bookmarkEnd w:id="128"/>
      <w:bookmarkEnd w:id="129"/>
    </w:p>
    <w:p w14:paraId="45860695">
      <w:pPr>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both"/>
        <w:textAlignment w:val="auto"/>
        <w:rPr>
          <w:rFonts w:hint="eastAsia" w:ascii="黑体" w:hAnsi="黑体" w:eastAsia="黑体" w:cs="黑体"/>
          <w:highlight w:val="none"/>
          <w:lang w:val="en-US" w:eastAsia="zh-CN"/>
        </w:rPr>
      </w:pPr>
      <w:r>
        <w:rPr>
          <w:rFonts w:hint="eastAsia" w:ascii="仿宋_GB2312" w:hAnsi="黑体" w:eastAsia="仿宋_GB2312" w:cs="仿宋_GB2312"/>
          <w:b w:val="0"/>
          <w:bCs w:val="0"/>
          <w:sz w:val="32"/>
          <w:szCs w:val="32"/>
          <w:highlight w:val="none"/>
        </w:rPr>
        <w:t>事故直接原因是</w:t>
      </w:r>
      <w:r>
        <w:rPr>
          <w:rFonts w:hint="eastAsia" w:ascii="黑体" w:hAnsi="黑体" w:eastAsia="黑体" w:cs="黑体"/>
          <w:highlight w:val="none"/>
          <w:lang w:val="en-US" w:eastAsia="zh-CN"/>
        </w:rPr>
        <w:t>建科建设泵车司机于</w:t>
      </w:r>
      <w:r>
        <w:rPr>
          <w:rFonts w:hint="eastAsia" w:ascii="仿宋_GB2312" w:hAnsi="仿宋_GB2312" w:eastAsia="仿宋_GB2312" w:cs="仿宋_GB2312"/>
          <w:highlight w:val="none"/>
          <w:lang w:val="en-US" w:eastAsia="zh-CN"/>
        </w:rPr>
        <w:t>**</w:t>
      </w:r>
      <w:r>
        <w:rPr>
          <w:rFonts w:hint="eastAsia" w:ascii="黑体" w:hAnsi="黑体" w:eastAsia="黑体" w:cs="黑体"/>
          <w:highlight w:val="none"/>
          <w:lang w:val="en-US" w:eastAsia="zh-CN"/>
        </w:rPr>
        <w:t>违规在未经夯实的回填土地面支架泵车，输料过程中泵车右前支腿承载力加大，支腿下方回填土承载力不足突然下陷，泵车右支腿随之下陷，带动输料臂下甩，下甩的输料臂击中正在下方作业的侯学平、罗宗建。</w:t>
      </w:r>
    </w:p>
    <w:p w14:paraId="0E8CE1B9">
      <w:pPr>
        <w:keepNext w:val="0"/>
        <w:keepLines w:val="0"/>
        <w:pageBreakBefore w:val="0"/>
        <w:widowControl w:val="0"/>
        <w:suppressLineNumbers w:val="0"/>
        <w:shd w:val="clear" w:color="auto" w:fill="FFFFFF"/>
        <w:kinsoku/>
        <w:wordWrap/>
        <w:overflowPunct/>
        <w:topLinePunct w:val="0"/>
        <w:autoSpaceDE/>
        <w:autoSpaceDN/>
        <w:bidi w:val="0"/>
        <w:adjustRightInd w:val="0"/>
        <w:snapToGrid w:val="0"/>
        <w:spacing w:before="0" w:beforeAutospacing="0" w:after="0" w:afterAutospacing="0" w:line="560" w:lineRule="exact"/>
        <w:ind w:left="0" w:leftChars="0" w:firstLine="640" w:firstLineChars="200"/>
        <w:jc w:val="both"/>
        <w:textAlignment w:val="auto"/>
        <w:rPr>
          <w:rFonts w:hint="eastAsia"/>
          <w:highlight w:val="none"/>
          <w:lang w:val="en-US" w:eastAsia="zh-CN"/>
        </w:rPr>
      </w:pPr>
      <w:r>
        <w:rPr>
          <w:rFonts w:hint="eastAsia"/>
          <w:highlight w:val="none"/>
          <w:lang w:val="en-US" w:eastAsia="zh-CN"/>
        </w:rPr>
        <w:t>直接原因分析：于</w:t>
      </w:r>
      <w:r>
        <w:rPr>
          <w:rFonts w:hint="eastAsia" w:ascii="仿宋_GB2312" w:hAnsi="仿宋_GB2312" w:eastAsia="仿宋_GB2312" w:cs="仿宋_GB2312"/>
          <w:highlight w:val="none"/>
          <w:lang w:val="en-US" w:eastAsia="zh-CN"/>
        </w:rPr>
        <w:t>**</w:t>
      </w:r>
      <w:r>
        <w:rPr>
          <w:rFonts w:hint="eastAsia"/>
          <w:highlight w:val="none"/>
          <w:lang w:val="en-US" w:eastAsia="zh-CN"/>
        </w:rPr>
        <w:t>未按照规定要求支架泵车；试车时，发现右前轮下陷后，未停止使用机械、未及时向施工单位项目负责人上报；未使用150mm×150mm的辅助方木条对泵车支腿进行</w:t>
      </w:r>
      <w:r>
        <w:rPr>
          <w:rFonts w:hint="eastAsia" w:ascii="仿宋_GB2312" w:hAnsi="仿宋_GB2312" w:eastAsia="仿宋_GB2312" w:cs="仿宋_GB2312"/>
          <w:highlight w:val="none"/>
          <w:lang w:val="en-US" w:eastAsia="zh-CN"/>
        </w:rPr>
        <w:t>支撑，</w:t>
      </w:r>
      <w:r>
        <w:rPr>
          <w:rFonts w:hint="eastAsia"/>
          <w:highlight w:val="none"/>
          <w:lang w:val="en-US" w:eastAsia="zh-CN"/>
        </w:rPr>
        <w:t>而是使用40mm×60mm方木条代替；未有效制止在危险区域内的作业人员，仍继续违章作业。</w:t>
      </w:r>
    </w:p>
    <w:p w14:paraId="6B26EF1B">
      <w:pPr>
        <w:pStyle w:val="17"/>
        <w:widowControl/>
        <w:shd w:val="clear" w:color="auto" w:fill="FFFFFF"/>
        <w:spacing w:beforeAutospacing="0" w:afterAutospacing="0"/>
        <w:rPr>
          <w:rFonts w:hint="default"/>
          <w:highlight w:val="none"/>
          <w:lang w:val="en-US" w:eastAsia="zh-CN"/>
        </w:rPr>
      </w:pPr>
      <w:r>
        <w:rPr>
          <w:rFonts w:hint="eastAsia" w:ascii="Times New Roman" w:hAnsi="Times New Roman" w:eastAsia="仿宋_GB2312" w:cs="Times New Roman"/>
          <w:kern w:val="2"/>
          <w:sz w:val="32"/>
          <w:szCs w:val="32"/>
          <w:highlight w:val="none"/>
          <w:lang w:val="en-US" w:eastAsia="zh-CN" w:bidi="ar-SA"/>
        </w:rPr>
        <w:t>侯</w:t>
      </w:r>
      <w:r>
        <w:rPr>
          <w:rFonts w:hint="eastAsia" w:ascii="仿宋_GB2312" w:hAnsi="仿宋_GB2312" w:eastAsia="仿宋_GB2312" w:cs="仿宋_GB2312"/>
          <w:highlight w:val="none"/>
          <w:lang w:val="en-US" w:eastAsia="zh-CN"/>
        </w:rPr>
        <w:t>**</w:t>
      </w:r>
      <w:r>
        <w:rPr>
          <w:rFonts w:hint="eastAsia" w:ascii="Times New Roman" w:hAnsi="Times New Roman" w:eastAsia="仿宋_GB2312" w:cs="Times New Roman"/>
          <w:kern w:val="2"/>
          <w:sz w:val="32"/>
          <w:szCs w:val="32"/>
          <w:highlight w:val="none"/>
          <w:lang w:val="en-US" w:eastAsia="zh-CN" w:bidi="ar-SA"/>
        </w:rPr>
        <w:t>、罗</w:t>
      </w:r>
      <w:r>
        <w:rPr>
          <w:rFonts w:hint="eastAsia" w:ascii="仿宋_GB2312" w:hAnsi="仿宋_GB2312" w:eastAsia="仿宋_GB2312" w:cs="仿宋_GB2312"/>
          <w:highlight w:val="none"/>
          <w:lang w:val="en-US" w:eastAsia="zh-CN"/>
        </w:rPr>
        <w:t>**</w:t>
      </w:r>
      <w:r>
        <w:rPr>
          <w:rFonts w:hint="eastAsia" w:ascii="Times New Roman" w:hAnsi="Times New Roman" w:eastAsia="仿宋_GB2312" w:cs="Times New Roman"/>
          <w:kern w:val="2"/>
          <w:sz w:val="32"/>
          <w:szCs w:val="32"/>
          <w:highlight w:val="none"/>
          <w:lang w:val="en-US" w:eastAsia="zh-CN" w:bidi="ar-SA"/>
        </w:rPr>
        <w:t>等违规在泵车输料臂下方作业</w:t>
      </w:r>
      <w:r>
        <w:rPr>
          <w:rFonts w:hint="eastAsia"/>
          <w:highlight w:val="none"/>
          <w:lang w:val="en-US" w:eastAsia="zh-CN"/>
        </w:rPr>
        <w:t>。</w:t>
      </w:r>
    </w:p>
    <w:p w14:paraId="3932E82D">
      <w:pPr>
        <w:pStyle w:val="3"/>
        <w:bidi w:val="0"/>
        <w:rPr>
          <w:rFonts w:hint="eastAsia"/>
          <w:highlight w:val="none"/>
          <w:lang w:val="en-US" w:eastAsia="zh-CN"/>
        </w:rPr>
      </w:pPr>
      <w:bookmarkStart w:id="130" w:name="_Toc7370"/>
      <w:bookmarkStart w:id="131" w:name="_Toc27345"/>
      <w:bookmarkStart w:id="132" w:name="_Toc634"/>
      <w:bookmarkStart w:id="133" w:name="_Toc16462"/>
      <w:bookmarkStart w:id="134" w:name="_Toc21026"/>
      <w:bookmarkStart w:id="135" w:name="_Toc22879"/>
      <w:bookmarkStart w:id="136" w:name="_Toc20261"/>
      <w:bookmarkStart w:id="137" w:name="_Toc28470"/>
      <w:r>
        <w:rPr>
          <w:rFonts w:hint="eastAsia"/>
          <w:highlight w:val="none"/>
          <w:lang w:eastAsia="zh-CN"/>
        </w:rPr>
        <w:t>（</w:t>
      </w:r>
      <w:r>
        <w:rPr>
          <w:rFonts w:hint="eastAsia"/>
          <w:highlight w:val="none"/>
          <w:lang w:val="en-US" w:eastAsia="zh-CN"/>
        </w:rPr>
        <w:t>二</w:t>
      </w:r>
      <w:r>
        <w:rPr>
          <w:rFonts w:hint="eastAsia"/>
          <w:highlight w:val="none"/>
          <w:lang w:eastAsia="zh-CN"/>
        </w:rPr>
        <w:t>）</w:t>
      </w:r>
      <w:r>
        <w:rPr>
          <w:rFonts w:hint="eastAsia"/>
          <w:highlight w:val="none"/>
          <w:lang w:val="en-US" w:eastAsia="zh-CN"/>
        </w:rPr>
        <w:t>其他可能因素排除</w:t>
      </w:r>
      <w:bookmarkEnd w:id="130"/>
    </w:p>
    <w:p w14:paraId="496C9E68">
      <w:pPr>
        <w:rPr>
          <w:rFonts w:hint="default"/>
          <w:highlight w:val="none"/>
          <w:lang w:val="en-US" w:eastAsia="zh-CN"/>
        </w:rPr>
      </w:pPr>
      <w:r>
        <w:rPr>
          <w:rFonts w:hint="default"/>
          <w:highlight w:val="none"/>
          <w:lang w:val="en-US" w:eastAsia="zh-CN"/>
        </w:rPr>
        <w:t>通过事故现场勘查、询问和事故现场视频资料分析，排除</w:t>
      </w:r>
      <w:r>
        <w:rPr>
          <w:rFonts w:hint="eastAsia"/>
          <w:highlight w:val="none"/>
          <w:lang w:val="en-US" w:eastAsia="zh-CN"/>
        </w:rPr>
        <w:t>了</w:t>
      </w:r>
      <w:r>
        <w:rPr>
          <w:rFonts w:hint="default"/>
          <w:highlight w:val="none"/>
          <w:lang w:val="en-US" w:eastAsia="zh-CN"/>
        </w:rPr>
        <w:t>人为故意破坏、突发灾害因素等影响</w:t>
      </w:r>
      <w:r>
        <w:rPr>
          <w:rFonts w:hint="eastAsia"/>
          <w:highlight w:val="none"/>
          <w:lang w:val="en-US" w:eastAsia="zh-CN"/>
        </w:rPr>
        <w:t>事故发生的可能性。</w:t>
      </w:r>
    </w:p>
    <w:p w14:paraId="1D8F5F05">
      <w:pPr>
        <w:pStyle w:val="3"/>
        <w:bidi w:val="0"/>
        <w:rPr>
          <w:rFonts w:hint="eastAsia"/>
          <w:highlight w:val="none"/>
          <w:lang w:val="en-US" w:eastAsia="zh-CN"/>
        </w:rPr>
      </w:pPr>
      <w:bookmarkStart w:id="138" w:name="_Toc11456"/>
      <w:r>
        <w:rPr>
          <w:rFonts w:hint="eastAsia"/>
          <w:highlight w:val="none"/>
        </w:rPr>
        <w:t>（</w:t>
      </w:r>
      <w:r>
        <w:rPr>
          <w:rFonts w:hint="eastAsia"/>
          <w:highlight w:val="none"/>
          <w:lang w:val="en-US" w:eastAsia="zh-CN"/>
        </w:rPr>
        <w:t>三</w:t>
      </w:r>
      <w:r>
        <w:rPr>
          <w:rFonts w:hint="eastAsia"/>
          <w:highlight w:val="none"/>
        </w:rPr>
        <w:t>）间接原因</w:t>
      </w:r>
      <w:r>
        <w:rPr>
          <w:rFonts w:hint="eastAsia"/>
          <w:highlight w:val="none"/>
          <w:lang w:val="en-US" w:eastAsia="zh-CN"/>
        </w:rPr>
        <w:t>分析</w:t>
      </w:r>
      <w:bookmarkEnd w:id="131"/>
      <w:bookmarkEnd w:id="132"/>
      <w:bookmarkEnd w:id="133"/>
      <w:bookmarkEnd w:id="134"/>
      <w:bookmarkEnd w:id="135"/>
      <w:bookmarkEnd w:id="136"/>
      <w:bookmarkEnd w:id="137"/>
      <w:bookmarkEnd w:id="138"/>
    </w:p>
    <w:p w14:paraId="1AAE823C">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43" w:firstLineChars="200"/>
        <w:jc w:val="both"/>
        <w:textAlignment w:val="auto"/>
        <w:rPr>
          <w:rFonts w:hint="eastAsia"/>
          <w:color w:val="000000" w:themeColor="text1"/>
          <w:highlight w:val="none"/>
          <w14:textFill>
            <w14:solidFill>
              <w14:schemeClr w14:val="tx1"/>
            </w14:solidFill>
          </w14:textFill>
        </w:rPr>
      </w:pPr>
      <w:r>
        <w:rPr>
          <w:rFonts w:hint="eastAsia"/>
          <w:highlight w:val="none"/>
        </w:rPr>
        <w:t>1</w:t>
      </w:r>
      <w:r>
        <w:rPr>
          <w:rFonts w:hint="eastAsia"/>
          <w:highlight w:val="none"/>
          <w:lang w:val="en-US" w:eastAsia="zh-CN"/>
        </w:rPr>
        <w:t>.双子建设主体责任落实不到位</w:t>
      </w:r>
      <w:r>
        <w:rPr>
          <w:rFonts w:hint="eastAsia"/>
          <w:highlight w:val="none"/>
        </w:rPr>
        <w:t>。</w:t>
      </w:r>
    </w:p>
    <w:p w14:paraId="3EB6DF3A">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default"/>
          <w:highlight w:val="none"/>
          <w:lang w:val="en-US" w:eastAsia="zh-CN"/>
        </w:rPr>
      </w:pPr>
      <w:r>
        <w:rPr>
          <w:rFonts w:hint="eastAsia"/>
          <w:highlight w:val="none"/>
          <w:lang w:val="en-US" w:eastAsia="zh-CN"/>
        </w:rPr>
        <w:t>（1）操作规程不完善。双子建设未制定泵车混凝土浇筑等相应的安全操作规程。</w:t>
      </w:r>
    </w:p>
    <w:p w14:paraId="1A81A65C">
      <w:pPr>
        <w:keepNext w:val="0"/>
        <w:keepLines w:val="0"/>
        <w:pageBreakBefore w:val="0"/>
        <w:widowControl/>
        <w:shd w:val="clear" w:color="auto" w:fill="FFFFFF"/>
        <w:kinsoku/>
        <w:wordWrap/>
        <w:overflowPunct/>
        <w:topLinePunct w:val="0"/>
        <w:autoSpaceDN/>
        <w:bidi w:val="0"/>
        <w:adjustRightInd/>
        <w:snapToGrid/>
        <w:spacing w:line="560" w:lineRule="exact"/>
        <w:ind w:left="0" w:leftChars="0" w:firstLine="640" w:firstLineChars="200"/>
        <w:jc w:val="both"/>
        <w:rPr>
          <w:rFonts w:hint="eastAsia"/>
          <w:highlight w:val="none"/>
        </w:rPr>
      </w:pPr>
      <w:r>
        <w:rPr>
          <w:rFonts w:hint="eastAsia"/>
          <w:highlight w:val="none"/>
        </w:rPr>
        <w:t>（</w:t>
      </w:r>
      <w:r>
        <w:rPr>
          <w:rFonts w:hint="eastAsia"/>
          <w:highlight w:val="none"/>
          <w:lang w:val="en-US" w:eastAsia="zh-CN"/>
        </w:rPr>
        <w:t>2</w:t>
      </w:r>
      <w:r>
        <w:rPr>
          <w:rFonts w:hint="eastAsia"/>
          <w:highlight w:val="none"/>
        </w:rPr>
        <w:t>）</w:t>
      </w:r>
      <w:r>
        <w:rPr>
          <w:rFonts w:hint="eastAsia"/>
          <w:highlight w:val="none"/>
          <w:lang w:val="en-US" w:eastAsia="zh-CN"/>
        </w:rPr>
        <w:t>教育培训不落实。双子建设</w:t>
      </w:r>
      <w:r>
        <w:rPr>
          <w:rFonts w:hint="eastAsia"/>
          <w:highlight w:val="none"/>
        </w:rPr>
        <w:t>安全教育培训计划涉嫌造假，未对</w:t>
      </w:r>
      <w:r>
        <w:rPr>
          <w:rFonts w:hint="eastAsia"/>
          <w:strike w:val="0"/>
          <w:dstrike w:val="0"/>
          <w:color w:val="auto"/>
          <w:highlight w:val="none"/>
          <w:lang w:val="en-US" w:eastAsia="zh-CN"/>
        </w:rPr>
        <w:t>作业人员</w:t>
      </w:r>
      <w:r>
        <w:rPr>
          <w:rFonts w:hint="eastAsia"/>
          <w:highlight w:val="none"/>
        </w:rPr>
        <w:t>进行岗前安全教育培训。</w:t>
      </w:r>
    </w:p>
    <w:p w14:paraId="72F4F2D2">
      <w:pPr>
        <w:keepNext w:val="0"/>
        <w:keepLines w:val="0"/>
        <w:pageBreakBefore w:val="0"/>
        <w:widowControl/>
        <w:shd w:val="clear" w:color="auto" w:fill="FFFFFF"/>
        <w:kinsoku/>
        <w:wordWrap/>
        <w:overflowPunct/>
        <w:topLinePunct w:val="0"/>
        <w:autoSpaceDN/>
        <w:bidi w:val="0"/>
        <w:adjustRightInd/>
        <w:snapToGrid/>
        <w:spacing w:line="560" w:lineRule="exact"/>
        <w:ind w:left="0" w:leftChars="0" w:firstLine="640" w:firstLineChars="200"/>
        <w:jc w:val="both"/>
        <w:rPr>
          <w:rFonts w:hint="eastAsia"/>
          <w:highlight w:val="none"/>
          <w:lang w:eastAsia="zh-CN"/>
        </w:rPr>
      </w:pPr>
      <w:r>
        <w:rPr>
          <w:rFonts w:hint="eastAsia"/>
          <w:highlight w:val="none"/>
          <w:lang w:eastAsia="zh-CN"/>
        </w:rPr>
        <w:t>（</w:t>
      </w:r>
      <w:r>
        <w:rPr>
          <w:rFonts w:hint="eastAsia"/>
          <w:highlight w:val="none"/>
          <w:lang w:val="en-US" w:eastAsia="zh-CN"/>
        </w:rPr>
        <w:t>3</w:t>
      </w:r>
      <w:r>
        <w:rPr>
          <w:rFonts w:hint="eastAsia"/>
          <w:highlight w:val="none"/>
          <w:lang w:eastAsia="zh-CN"/>
        </w:rPr>
        <w:t>）</w:t>
      </w:r>
      <w:r>
        <w:rPr>
          <w:rFonts w:hint="eastAsia"/>
          <w:highlight w:val="none"/>
          <w:lang w:val="en-US" w:eastAsia="zh-CN"/>
        </w:rPr>
        <w:t>现场安全管理混乱。未指定专职安全生产管理人员进行安全检查与协调。项目经理</w:t>
      </w:r>
      <w:r>
        <w:rPr>
          <w:rFonts w:hint="eastAsia" w:ascii="仿宋_GB2312" w:hAnsi="黑体" w:cs="仿宋_GB2312"/>
          <w:szCs w:val="32"/>
          <w:highlight w:val="none"/>
          <w:lang w:val="en-US" w:eastAsia="zh-CN"/>
        </w:rPr>
        <w:t>未履行项目安全生产职责，</w:t>
      </w:r>
      <w:r>
        <w:rPr>
          <w:rFonts w:hint="eastAsia"/>
          <w:highlight w:val="none"/>
          <w:lang w:val="en-US" w:eastAsia="zh-CN"/>
        </w:rPr>
        <w:t>未安排专职安全人员现场监督，未对建科建设的泵车停靠进行风险告知。</w:t>
      </w:r>
    </w:p>
    <w:p w14:paraId="6C9F7405">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eastAsia"/>
          <w:highlight w:val="none"/>
          <w:lang w:val="en-US" w:eastAsia="zh-CN"/>
        </w:rPr>
      </w:pPr>
      <w:r>
        <w:rPr>
          <w:rFonts w:hint="eastAsia"/>
          <w:highlight w:val="none"/>
          <w:lang w:val="en-US" w:eastAsia="zh-CN"/>
        </w:rPr>
        <w:t>（4）未进行安全技术交底。未对建科建设关于混凝土浇筑作业场地进行技术交底；未编制混凝土浇筑作业的施工方案，未对作业人员进行安全技术交底。</w:t>
      </w:r>
    </w:p>
    <w:p w14:paraId="701E5936">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default"/>
          <w:highlight w:val="none"/>
          <w:lang w:val="en-US" w:eastAsia="zh-CN"/>
        </w:rPr>
      </w:pPr>
      <w:r>
        <w:rPr>
          <w:rFonts w:hint="eastAsia"/>
          <w:highlight w:val="none"/>
          <w:lang w:eastAsia="zh-CN"/>
        </w:rPr>
        <w:t>（</w:t>
      </w:r>
      <w:r>
        <w:rPr>
          <w:rFonts w:hint="eastAsia"/>
          <w:highlight w:val="none"/>
          <w:lang w:val="en-US" w:eastAsia="zh-CN"/>
        </w:rPr>
        <w:t>5）未开展双重预防机制建设。只编写了相关管理制度，但未开展安全风险分级管控和隐患排查治理相关工作。</w:t>
      </w:r>
    </w:p>
    <w:p w14:paraId="3DC867E2">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43" w:firstLineChars="200"/>
        <w:jc w:val="both"/>
        <w:textAlignment w:val="auto"/>
        <w:rPr>
          <w:rFonts w:hint="eastAsia"/>
          <w:highlight w:val="none"/>
        </w:rPr>
      </w:pPr>
      <w:r>
        <w:rPr>
          <w:rFonts w:hint="eastAsia"/>
          <w:highlight w:val="none"/>
          <w:lang w:val="en-US" w:eastAsia="zh-CN"/>
        </w:rPr>
        <w:t>2.建科建设</w:t>
      </w:r>
      <w:r>
        <w:rPr>
          <w:rFonts w:hint="eastAsia"/>
          <w:highlight w:val="none"/>
          <w:lang w:eastAsia="zh-CN"/>
        </w:rPr>
        <w:t>主体责任落实</w:t>
      </w:r>
      <w:r>
        <w:rPr>
          <w:rFonts w:hint="eastAsia"/>
          <w:highlight w:val="none"/>
        </w:rPr>
        <w:t>不到位。</w:t>
      </w:r>
    </w:p>
    <w:p w14:paraId="5F0BE24C">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eastAsia"/>
          <w:highlight w:val="none"/>
          <w:lang w:val="en-US" w:eastAsia="zh-CN"/>
        </w:rPr>
      </w:pPr>
      <w:r>
        <w:rPr>
          <w:rFonts w:hint="eastAsia"/>
          <w:highlight w:val="none"/>
          <w:lang w:eastAsia="zh-CN"/>
        </w:rPr>
        <w:t>（</w:t>
      </w:r>
      <w:r>
        <w:rPr>
          <w:rFonts w:hint="eastAsia"/>
          <w:highlight w:val="none"/>
          <w:lang w:val="en-US" w:eastAsia="zh-CN"/>
        </w:rPr>
        <w:t>1</w:t>
      </w:r>
      <w:r>
        <w:rPr>
          <w:rFonts w:hint="eastAsia"/>
          <w:highlight w:val="none"/>
          <w:lang w:eastAsia="zh-CN"/>
        </w:rPr>
        <w:t>）</w:t>
      </w:r>
      <w:r>
        <w:rPr>
          <w:rFonts w:hint="eastAsia"/>
          <w:highlight w:val="none"/>
          <w:lang w:val="en-US" w:eastAsia="zh-CN"/>
        </w:rPr>
        <w:t>未进行实地勘察。</w:t>
      </w:r>
      <w:r>
        <w:rPr>
          <w:rFonts w:hint="eastAsia"/>
          <w:highlight w:val="none"/>
          <w:lang w:eastAsia="zh-CN"/>
        </w:rPr>
        <w:t>施工前未</w:t>
      </w:r>
      <w:r>
        <w:rPr>
          <w:rFonts w:hint="eastAsia"/>
          <w:highlight w:val="none"/>
          <w:lang w:val="en-US" w:eastAsia="zh-CN"/>
        </w:rPr>
        <w:t>安排专人</w:t>
      </w:r>
      <w:r>
        <w:rPr>
          <w:rFonts w:hint="eastAsia"/>
          <w:highlight w:val="none"/>
          <w:lang w:eastAsia="zh-CN"/>
        </w:rPr>
        <w:t>到施工现场</w:t>
      </w:r>
      <w:r>
        <w:rPr>
          <w:rFonts w:hint="eastAsia"/>
          <w:highlight w:val="none"/>
          <w:lang w:val="en-US" w:eastAsia="zh-CN"/>
        </w:rPr>
        <w:t>确定泵车作业区域情况。</w:t>
      </w:r>
    </w:p>
    <w:p w14:paraId="0781ABE0">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eastAsia"/>
          <w:highlight w:val="none"/>
          <w:lang w:val="en-US" w:eastAsia="zh-CN"/>
        </w:rPr>
      </w:pPr>
      <w:r>
        <w:rPr>
          <w:rFonts w:hint="eastAsia"/>
          <w:highlight w:val="none"/>
        </w:rPr>
        <w:t>（2）</w:t>
      </w:r>
      <w:r>
        <w:rPr>
          <w:rFonts w:hint="eastAsia"/>
          <w:highlight w:val="none"/>
          <w:lang w:val="en-US" w:eastAsia="zh-CN"/>
        </w:rPr>
        <w:t>教育培训不到位。</w:t>
      </w:r>
      <w:r>
        <w:rPr>
          <w:rFonts w:hint="eastAsia"/>
          <w:highlight w:val="none"/>
        </w:rPr>
        <w:t>对新入职员工于</w:t>
      </w:r>
      <w:r>
        <w:rPr>
          <w:rFonts w:hint="eastAsia" w:ascii="仿宋_GB2312" w:hAnsi="仿宋_GB2312" w:eastAsia="仿宋_GB2312" w:cs="仿宋_GB2312"/>
          <w:highlight w:val="none"/>
          <w:lang w:val="en-US" w:eastAsia="zh-CN"/>
        </w:rPr>
        <w:t>**</w:t>
      </w:r>
      <w:r>
        <w:rPr>
          <w:rFonts w:hint="eastAsia"/>
          <w:highlight w:val="none"/>
        </w:rPr>
        <w:t>的安全生产教育培训</w:t>
      </w:r>
      <w:r>
        <w:rPr>
          <w:rFonts w:hint="eastAsia"/>
          <w:highlight w:val="none"/>
          <w:lang w:val="en-US" w:eastAsia="zh-CN"/>
        </w:rPr>
        <w:t>未记录、考核。</w:t>
      </w:r>
    </w:p>
    <w:p w14:paraId="20444AF8">
      <w:pPr>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00" w:firstLineChars="200"/>
        <w:jc w:val="both"/>
        <w:textAlignment w:val="auto"/>
        <w:rPr>
          <w:rFonts w:hint="default" w:ascii="Times New Roman" w:hAnsi="Times New Roman" w:cs="Times New Roman"/>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i w:val="0"/>
          <w:iCs w:val="0"/>
          <w:caps w:val="0"/>
          <w:color w:val="auto"/>
          <w:spacing w:val="0"/>
          <w:sz w:val="30"/>
          <w:szCs w:val="32"/>
          <w:highlight w:val="none"/>
          <w:shd w:val="clear" w:color="auto" w:fill="FFFFFF"/>
        </w:rPr>
        <w:t>（3）</w:t>
      </w:r>
      <w:r>
        <w:rPr>
          <w:rFonts w:hint="eastAsia"/>
          <w:color w:val="auto"/>
          <w:highlight w:val="none"/>
          <w:lang w:val="en-US" w:eastAsia="zh-CN"/>
        </w:rPr>
        <w:t>现场人员</w:t>
      </w:r>
      <w:r>
        <w:rPr>
          <w:rFonts w:hint="default" w:ascii="Times New Roman" w:hAnsi="Times New Roman" w:cs="Times New Roman"/>
          <w:i w:val="0"/>
          <w:iCs w:val="0"/>
          <w:caps w:val="0"/>
          <w:color w:val="auto"/>
          <w:spacing w:val="0"/>
          <w:sz w:val="32"/>
          <w:szCs w:val="32"/>
          <w:highlight w:val="none"/>
          <w:shd w:val="clear" w:color="auto" w:fill="FFFFFF"/>
          <w:lang w:val="en-US" w:eastAsia="zh-CN"/>
        </w:rPr>
        <w:t>违章作业。泵车司机在操作混凝土泵车作业过程中，在</w:t>
      </w:r>
      <w:r>
        <w:rPr>
          <w:rFonts w:hint="eastAsia" w:cs="Times New Roman"/>
          <w:i w:val="0"/>
          <w:iCs w:val="0"/>
          <w:caps w:val="0"/>
          <w:color w:val="auto"/>
          <w:spacing w:val="0"/>
          <w:sz w:val="32"/>
          <w:szCs w:val="32"/>
          <w:highlight w:val="none"/>
          <w:shd w:val="clear" w:color="auto" w:fill="FFFFFF"/>
          <w:lang w:val="en-US" w:eastAsia="zh-CN"/>
        </w:rPr>
        <w:t>输料臂</w:t>
      </w:r>
      <w:r>
        <w:rPr>
          <w:rFonts w:hint="default" w:ascii="Times New Roman" w:hAnsi="Times New Roman" w:cs="Times New Roman"/>
          <w:i w:val="0"/>
          <w:iCs w:val="0"/>
          <w:caps w:val="0"/>
          <w:color w:val="auto"/>
          <w:spacing w:val="0"/>
          <w:sz w:val="32"/>
          <w:szCs w:val="32"/>
          <w:highlight w:val="none"/>
          <w:shd w:val="clear" w:color="auto" w:fill="FFFFFF"/>
          <w:lang w:val="en-US" w:eastAsia="zh-CN"/>
        </w:rPr>
        <w:t>软管下方有人员作业的情况下，仍遥控操作混凝土泵车作业。</w:t>
      </w:r>
    </w:p>
    <w:p w14:paraId="4885DD25">
      <w:pPr>
        <w:pStyle w:val="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43" w:firstLineChars="200"/>
        <w:jc w:val="both"/>
        <w:textAlignment w:val="auto"/>
        <w:rPr>
          <w:rFonts w:hint="default"/>
          <w:highlight w:val="none"/>
          <w:lang w:val="en-US" w:eastAsia="zh-CN"/>
        </w:rPr>
      </w:pPr>
      <w:r>
        <w:rPr>
          <w:rFonts w:hint="eastAsia"/>
          <w:highlight w:val="none"/>
          <w:lang w:val="en-US" w:eastAsia="zh-CN"/>
        </w:rPr>
        <w:t>3.莱山区住建局监管不到位。</w:t>
      </w:r>
    </w:p>
    <w:p w14:paraId="18519046">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对辅助设施建设施工监督检查缺</w:t>
      </w:r>
      <w:r>
        <w:rPr>
          <w:rFonts w:hint="eastAsia" w:cs="Times New Roman"/>
          <w:b w:val="0"/>
          <w:bCs w:val="0"/>
          <w:i w:val="0"/>
          <w:iCs w:val="0"/>
          <w:caps w:val="0"/>
          <w:color w:val="auto"/>
          <w:spacing w:val="0"/>
          <w:sz w:val="32"/>
          <w:szCs w:val="32"/>
          <w:highlight w:val="none"/>
          <w:shd w:val="clear" w:color="auto" w:fill="FFFFFF"/>
          <w:lang w:val="en-US" w:eastAsia="zh-CN"/>
        </w:rPr>
        <w:t>失</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Fonts w:hint="default" w:ascii="Times New Roman" w:hAnsi="Times New Roman" w:cs="Times New Roman"/>
          <w:b w:val="0"/>
          <w:bCs w:val="0"/>
          <w:i w:val="0"/>
          <w:iCs w:val="0"/>
          <w:caps w:val="0"/>
          <w:color w:val="auto"/>
          <w:spacing w:val="0"/>
          <w:sz w:val="32"/>
          <w:szCs w:val="32"/>
          <w:highlight w:val="none"/>
          <w:shd w:val="clear" w:color="auto" w:fill="FFFFFF"/>
          <w:lang w:val="en-US" w:eastAsia="zh-CN"/>
        </w:rPr>
        <w:t>监督检查计划与工作内容不相符，未及时发现施工单位的违规违章作</w:t>
      </w:r>
      <w:r>
        <w:rPr>
          <w:rFonts w:hint="eastAsia" w:ascii="仿宋_GB2312" w:hAnsi="仿宋_GB2312" w:cs="仿宋_GB2312"/>
          <w:b w:val="0"/>
          <w:bCs w:val="0"/>
          <w:i w:val="0"/>
          <w:iCs w:val="0"/>
          <w:caps w:val="0"/>
          <w:color w:val="auto"/>
          <w:spacing w:val="0"/>
          <w:sz w:val="32"/>
          <w:szCs w:val="32"/>
          <w:highlight w:val="none"/>
          <w:shd w:val="clear" w:color="auto" w:fill="FFFFFF"/>
          <w:lang w:val="en-US" w:eastAsia="zh-CN"/>
        </w:rPr>
        <w:t>业。</w:t>
      </w:r>
    </w:p>
    <w:p w14:paraId="4AE49355">
      <w:pPr>
        <w:pStyle w:val="5"/>
        <w:bidi w:val="0"/>
        <w:rPr>
          <w:rFonts w:hint="default"/>
          <w:highlight w:val="none"/>
          <w:lang w:val="en-US" w:eastAsia="zh-CN"/>
        </w:rPr>
      </w:pPr>
      <w:r>
        <w:rPr>
          <w:rFonts w:hint="eastAsia"/>
          <w:highlight w:val="none"/>
          <w:lang w:val="en-US" w:eastAsia="zh-CN"/>
        </w:rPr>
        <w:t>4.莱山经济开发区管委监管不到位。</w:t>
      </w:r>
    </w:p>
    <w:p w14:paraId="2F0D5D3E">
      <w:pPr>
        <w:keepNext w:val="0"/>
        <w:keepLines w:val="0"/>
        <w:pageBreakBefore w:val="0"/>
        <w:widowControl w:val="0"/>
        <w:numPr>
          <w:ilvl w:val="0"/>
          <w:numId w:val="0"/>
        </w:numPr>
        <w:kinsoku/>
        <w:wordWrap/>
        <w:overflowPunct/>
        <w:topLinePunct w:val="0"/>
        <w:autoSpaceDE/>
        <w:autoSpaceDN/>
        <w:bidi w:val="0"/>
        <w:adjustRightInd w:val="0"/>
        <w:snapToGrid w:val="0"/>
        <w:ind w:firstLine="640" w:firstLineChars="200"/>
        <w:textAlignment w:val="auto"/>
        <w:rPr>
          <w:rFonts w:hint="eastAsia" w:ascii="仿宋_GB2312" w:hAnsi="仿宋_GB2312" w:eastAsia="仿宋_GB2312" w:cs="仿宋_GB2312"/>
          <w:b w:val="0"/>
          <w:bCs w:val="0"/>
          <w:i w:val="0"/>
          <w:iCs w:val="0"/>
          <w:caps w:val="0"/>
          <w:color w:val="auto"/>
          <w:spacing w:val="0"/>
          <w:szCs w:val="30"/>
          <w:highlight w:val="none"/>
          <w:shd w:val="clear" w:color="auto" w:fill="FFFFFF"/>
          <w:lang w:val="en-US" w:eastAsia="zh-CN"/>
        </w:rPr>
      </w:pPr>
      <w:r>
        <w:rPr>
          <w:rFonts w:hint="eastAsia"/>
          <w:highlight w:val="none"/>
          <w:lang w:val="en-US" w:eastAsia="zh-CN"/>
        </w:rPr>
        <w:t>未认真履行监督管理职责，未规范开展日常巡查，未及时发现施工单位的违规违章作</w:t>
      </w:r>
      <w:r>
        <w:rPr>
          <w:rFonts w:hint="eastAsia" w:ascii="仿宋_GB2312" w:hAnsi="仿宋_GB2312" w:eastAsia="仿宋_GB2312" w:cs="仿宋_GB2312"/>
          <w:highlight w:val="none"/>
          <w:lang w:val="en-US" w:eastAsia="zh-CN"/>
        </w:rPr>
        <w:t>业</w:t>
      </w:r>
      <w:r>
        <w:rPr>
          <w:rFonts w:hint="eastAsia"/>
          <w:highlight w:val="none"/>
          <w:lang w:val="en-US" w:eastAsia="zh-CN"/>
        </w:rPr>
        <w:t>。</w:t>
      </w:r>
    </w:p>
    <w:p w14:paraId="1EF69E3B">
      <w:pPr>
        <w:pStyle w:val="2"/>
        <w:bidi w:val="0"/>
        <w:rPr>
          <w:rFonts w:hint="eastAsia"/>
          <w:highlight w:val="none"/>
          <w:lang w:eastAsia="zh-CN"/>
        </w:rPr>
      </w:pPr>
      <w:bookmarkStart w:id="139" w:name="_Toc27852"/>
      <w:bookmarkStart w:id="140" w:name="_Toc1139"/>
      <w:bookmarkStart w:id="141" w:name="_Toc21969"/>
      <w:bookmarkStart w:id="142" w:name="_Toc7599"/>
      <w:bookmarkStart w:id="143" w:name="_Toc13167"/>
      <w:bookmarkStart w:id="144" w:name="_Toc25670"/>
      <w:bookmarkStart w:id="145" w:name="_Toc13170"/>
      <w:bookmarkStart w:id="146" w:name="_Toc27556"/>
      <w:r>
        <w:rPr>
          <w:rFonts w:hint="eastAsia"/>
          <w:highlight w:val="none"/>
          <w:lang w:val="en-US" w:eastAsia="zh-CN"/>
        </w:rPr>
        <w:t>四</w:t>
      </w:r>
      <w:r>
        <w:rPr>
          <w:rFonts w:hint="eastAsia"/>
          <w:highlight w:val="none"/>
          <w:lang w:eastAsia="zh-CN"/>
        </w:rPr>
        <w:t>、对有关责任人员和责任单位的处理建议</w:t>
      </w:r>
      <w:bookmarkEnd w:id="139"/>
      <w:bookmarkEnd w:id="140"/>
      <w:bookmarkEnd w:id="141"/>
      <w:bookmarkEnd w:id="142"/>
      <w:bookmarkEnd w:id="143"/>
      <w:bookmarkEnd w:id="144"/>
      <w:bookmarkEnd w:id="145"/>
      <w:bookmarkEnd w:id="146"/>
    </w:p>
    <w:p w14:paraId="67DEF2F1">
      <w:pPr>
        <w:pStyle w:val="3"/>
        <w:bidi w:val="0"/>
        <w:rPr>
          <w:rFonts w:hint="eastAsia"/>
          <w:highlight w:val="none"/>
          <w:lang w:eastAsia="zh-CN"/>
        </w:rPr>
      </w:pPr>
      <w:bookmarkStart w:id="147" w:name="_Toc7430"/>
      <w:bookmarkStart w:id="148" w:name="_Toc2708"/>
      <w:bookmarkStart w:id="149" w:name="_Toc29725"/>
      <w:bookmarkStart w:id="150" w:name="_Toc10044"/>
      <w:bookmarkStart w:id="151" w:name="_Toc12093"/>
      <w:bookmarkStart w:id="152" w:name="_Toc10140"/>
      <w:bookmarkStart w:id="153" w:name="_Toc12411"/>
      <w:bookmarkStart w:id="154" w:name="_Toc21984"/>
      <w:r>
        <w:rPr>
          <w:rFonts w:hint="eastAsia"/>
          <w:highlight w:val="none"/>
          <w:lang w:eastAsia="zh-CN"/>
        </w:rPr>
        <w:t>（一）因在事故中死亡，免予追究责任人员</w:t>
      </w:r>
      <w:bookmarkEnd w:id="147"/>
      <w:bookmarkEnd w:id="148"/>
      <w:bookmarkEnd w:id="149"/>
      <w:bookmarkEnd w:id="150"/>
      <w:bookmarkEnd w:id="151"/>
      <w:bookmarkEnd w:id="152"/>
      <w:bookmarkEnd w:id="153"/>
      <w:bookmarkEnd w:id="154"/>
    </w:p>
    <w:p w14:paraId="1426E370">
      <w:pPr>
        <w:keepNext w:val="0"/>
        <w:keepLines w:val="0"/>
        <w:pageBreakBefore w:val="0"/>
        <w:kinsoku/>
        <w:wordWrap/>
        <w:overflowPunct/>
        <w:topLinePunct w:val="0"/>
        <w:autoSpaceDN/>
        <w:bidi w:val="0"/>
        <w:adjustRightInd w:val="0"/>
        <w:snapToGrid w:val="0"/>
        <w:spacing w:line="560" w:lineRule="exact"/>
        <w:ind w:left="0" w:leftChars="0" w:firstLine="640" w:firstLineChars="200"/>
        <w:jc w:val="both"/>
        <w:rPr>
          <w:rFonts w:hint="default" w:ascii="Times New Roman" w:hAnsi="Times New Roman" w:eastAsia="仿宋_GB2312" w:cs="Times New Roman"/>
          <w:color w:val="auto"/>
          <w:sz w:val="32"/>
          <w:szCs w:val="32"/>
          <w:highlight w:val="none"/>
          <w:lang w:eastAsia="zh-CN"/>
        </w:rPr>
      </w:pPr>
      <w:r>
        <w:rPr>
          <w:rFonts w:hint="default" w:ascii="Times New Roman" w:hAnsi="Times New Roman" w:cs="Times New Roman"/>
          <w:color w:val="auto"/>
          <w:sz w:val="32"/>
          <w:szCs w:val="32"/>
          <w:highlight w:val="none"/>
          <w:lang w:val="en-US" w:eastAsia="zh-CN"/>
        </w:rPr>
        <w:t>（</w:t>
      </w:r>
      <w:r>
        <w:rPr>
          <w:rFonts w:hint="eastAsia" w:ascii="Times New Roman" w:hAnsi="Times New Roman" w:cs="Times New Roman"/>
          <w:color w:val="auto"/>
          <w:sz w:val="32"/>
          <w:szCs w:val="32"/>
          <w:highlight w:val="none"/>
          <w:lang w:val="en-US" w:eastAsia="zh-CN"/>
        </w:rPr>
        <w:t>1</w:t>
      </w:r>
      <w:r>
        <w:rPr>
          <w:rFonts w:hint="default"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侯</w:t>
      </w:r>
      <w:r>
        <w:rPr>
          <w:rFonts w:hint="eastAsia" w:ascii="仿宋_GB2312" w:hAnsi="仿宋_GB2312" w:eastAsia="仿宋_GB2312" w:cs="仿宋_GB2312"/>
          <w:highlight w:val="none"/>
          <w:lang w:val="en-US" w:eastAsia="zh-CN"/>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男，</w:t>
      </w:r>
      <w:r>
        <w:rPr>
          <w:rFonts w:hint="default" w:ascii="Times New Roman" w:hAnsi="Times New Roman" w:eastAsia="仿宋_GB2312" w:cs="Times New Roman"/>
          <w:color w:val="auto"/>
          <w:sz w:val="32"/>
          <w:szCs w:val="32"/>
          <w:highlight w:val="none"/>
          <w:lang w:val="en-US" w:eastAsia="zh-CN"/>
        </w:rPr>
        <w:t>群众，昌宏</w:t>
      </w:r>
      <w:r>
        <w:rPr>
          <w:rFonts w:hint="eastAsia" w:cs="Times New Roman"/>
          <w:color w:val="auto"/>
          <w:sz w:val="32"/>
          <w:szCs w:val="32"/>
          <w:highlight w:val="none"/>
          <w:lang w:val="en-US" w:eastAsia="zh-CN"/>
        </w:rPr>
        <w:t>劳务人员</w:t>
      </w:r>
      <w:r>
        <w:rPr>
          <w:rFonts w:hint="default" w:ascii="Times New Roman" w:hAnsi="Times New Roman" w:eastAsia="仿宋_GB2312" w:cs="Times New Roman"/>
          <w:color w:val="auto"/>
          <w:sz w:val="32"/>
          <w:szCs w:val="32"/>
          <w:highlight w:val="none"/>
          <w:lang w:eastAsia="zh-CN"/>
        </w:rPr>
        <w:t>，违章</w:t>
      </w:r>
      <w:r>
        <w:rPr>
          <w:rFonts w:hint="eastAsia" w:cs="Times New Roman"/>
          <w:color w:val="auto"/>
          <w:sz w:val="32"/>
          <w:szCs w:val="32"/>
          <w:highlight w:val="none"/>
          <w:lang w:val="en-US" w:eastAsia="zh-CN"/>
        </w:rPr>
        <w:t>进入</w:t>
      </w:r>
      <w:r>
        <w:rPr>
          <w:rFonts w:hint="default" w:ascii="Times New Roman" w:hAnsi="Times New Roman" w:eastAsia="仿宋_GB2312" w:cs="Times New Roman"/>
          <w:color w:val="auto"/>
          <w:sz w:val="32"/>
          <w:szCs w:val="32"/>
          <w:highlight w:val="none"/>
          <w:lang w:val="en-US" w:eastAsia="zh-CN"/>
        </w:rPr>
        <w:t>泵车输料臂下方危险区域</w:t>
      </w:r>
      <w:r>
        <w:rPr>
          <w:rFonts w:hint="default" w:ascii="Times New Roman" w:hAnsi="Times New Roman" w:eastAsia="仿宋_GB2312" w:cs="Times New Roman"/>
          <w:color w:val="auto"/>
          <w:sz w:val="32"/>
          <w:szCs w:val="32"/>
          <w:highlight w:val="none"/>
          <w:lang w:eastAsia="zh-CN"/>
        </w:rPr>
        <w:t>，对事故发生负有责任，鉴于在事故中死亡，免予追究责任。</w:t>
      </w:r>
    </w:p>
    <w:p w14:paraId="2AAB1EEF">
      <w:pPr>
        <w:keepNext w:val="0"/>
        <w:keepLines w:val="0"/>
        <w:pageBreakBefore w:val="0"/>
        <w:kinsoku/>
        <w:wordWrap/>
        <w:overflowPunct/>
        <w:topLinePunct w:val="0"/>
        <w:autoSpaceDN/>
        <w:bidi w:val="0"/>
        <w:adjustRightInd w:val="0"/>
        <w:snapToGrid w:val="0"/>
        <w:spacing w:line="560" w:lineRule="exact"/>
        <w:ind w:left="0" w:leftChars="0" w:firstLine="640" w:firstLineChars="200"/>
        <w:jc w:val="both"/>
        <w:rPr>
          <w:rFonts w:hint="default" w:ascii="Times New Roman" w:hAnsi="Times New Roman" w:eastAsia="仿宋_GB2312" w:cs="Times New Roman"/>
          <w:color w:val="auto"/>
          <w:sz w:val="32"/>
          <w:szCs w:val="32"/>
          <w:highlight w:val="none"/>
          <w:lang w:eastAsia="zh-CN"/>
        </w:rPr>
      </w:pPr>
      <w:r>
        <w:rPr>
          <w:rFonts w:hint="eastAsia"/>
          <w:highlight w:val="none"/>
          <w:lang w:val="en-US" w:eastAsia="zh-CN"/>
        </w:rPr>
        <w:t>（2）罗</w:t>
      </w:r>
      <w:r>
        <w:rPr>
          <w:rFonts w:hint="eastAsia" w:ascii="仿宋_GB2312" w:hAnsi="仿宋_GB2312" w:eastAsia="仿宋_GB2312" w:cs="仿宋_GB2312"/>
          <w:highlight w:val="none"/>
          <w:lang w:val="en-US" w:eastAsia="zh-CN"/>
        </w:rPr>
        <w:t>**</w:t>
      </w:r>
      <w:r>
        <w:rPr>
          <w:rFonts w:hint="eastAsia"/>
          <w:highlight w:val="none"/>
          <w:lang w:eastAsia="zh-CN"/>
        </w:rPr>
        <w:t>，</w:t>
      </w:r>
      <w:r>
        <w:rPr>
          <w:rFonts w:hint="eastAsia"/>
          <w:highlight w:val="none"/>
          <w:lang w:val="en-US" w:eastAsia="zh-CN"/>
        </w:rPr>
        <w:t>男，群众，昌宏劳务人员</w:t>
      </w:r>
      <w:r>
        <w:rPr>
          <w:rFonts w:hint="eastAsia"/>
          <w:highlight w:val="none"/>
          <w:lang w:eastAsia="zh-CN"/>
        </w:rPr>
        <w:t>，违章</w:t>
      </w:r>
      <w:r>
        <w:rPr>
          <w:rFonts w:hint="eastAsia"/>
          <w:highlight w:val="none"/>
          <w:lang w:val="en-US" w:eastAsia="zh-CN"/>
        </w:rPr>
        <w:t>在泵车输料臂下方危险</w:t>
      </w:r>
      <w:r>
        <w:rPr>
          <w:rFonts w:hint="eastAsia" w:ascii="仿宋_GB2312" w:hAnsi="仿宋_GB2312" w:eastAsia="仿宋_GB2312" w:cs="仿宋_GB2312"/>
          <w:highlight w:val="none"/>
          <w:lang w:val="en-US" w:eastAsia="zh-CN"/>
        </w:rPr>
        <w:t>区域</w:t>
      </w:r>
      <w:r>
        <w:rPr>
          <w:rFonts w:hint="eastAsia" w:ascii="仿宋_GB2312" w:hAnsi="仿宋_GB2312" w:eastAsia="仿宋_GB2312" w:cs="仿宋_GB2312"/>
          <w:highlight w:val="none"/>
          <w:lang w:eastAsia="zh-CN"/>
        </w:rPr>
        <w:t>作业，</w:t>
      </w:r>
      <w:r>
        <w:rPr>
          <w:rFonts w:hint="eastAsia"/>
          <w:highlight w:val="none"/>
          <w:lang w:eastAsia="zh-CN"/>
        </w:rPr>
        <w:t>对事故发生负有责任，鉴于在事故中死亡，免</w:t>
      </w:r>
      <w:r>
        <w:rPr>
          <w:rFonts w:hint="default" w:ascii="Times New Roman" w:hAnsi="Times New Roman" w:eastAsia="仿宋_GB2312" w:cs="Times New Roman"/>
          <w:color w:val="auto"/>
          <w:sz w:val="32"/>
          <w:szCs w:val="32"/>
          <w:highlight w:val="none"/>
          <w:lang w:eastAsia="zh-CN"/>
        </w:rPr>
        <w:t>予追究责任。</w:t>
      </w:r>
    </w:p>
    <w:p w14:paraId="60784F7B">
      <w:pPr>
        <w:pStyle w:val="3"/>
        <w:bidi w:val="0"/>
        <w:rPr>
          <w:rFonts w:hint="default"/>
          <w:highlight w:val="none"/>
          <w:lang w:val="en-US" w:eastAsia="zh-CN"/>
        </w:rPr>
      </w:pPr>
      <w:bookmarkStart w:id="155" w:name="_Toc2465"/>
      <w:bookmarkStart w:id="156" w:name="_Toc29811"/>
      <w:bookmarkStart w:id="157" w:name="_Toc17251"/>
      <w:bookmarkStart w:id="158" w:name="_Toc22405"/>
      <w:bookmarkStart w:id="159" w:name="_Toc23428"/>
      <w:bookmarkStart w:id="160" w:name="_Toc1808"/>
      <w:bookmarkStart w:id="161" w:name="_Toc31876"/>
      <w:bookmarkStart w:id="162" w:name="_Toc19604"/>
      <w:r>
        <w:rPr>
          <w:rFonts w:hint="eastAsia"/>
          <w:highlight w:val="none"/>
          <w:lang w:val="en-US" w:eastAsia="zh-CN"/>
        </w:rPr>
        <w:t>（二）建议移送司法机关处理的人员</w:t>
      </w:r>
      <w:bookmarkEnd w:id="155"/>
      <w:bookmarkEnd w:id="156"/>
      <w:bookmarkEnd w:id="157"/>
      <w:bookmarkEnd w:id="158"/>
      <w:bookmarkEnd w:id="159"/>
      <w:bookmarkEnd w:id="160"/>
      <w:bookmarkEnd w:id="161"/>
      <w:bookmarkEnd w:id="162"/>
    </w:p>
    <w:p w14:paraId="4E4F681C">
      <w:pPr>
        <w:spacing w:line="560" w:lineRule="exact"/>
        <w:ind w:firstLine="640" w:firstLineChars="200"/>
        <w:rPr>
          <w:rFonts w:hint="eastAsia" w:ascii="黑体" w:hAnsi="黑体" w:eastAsia="黑体" w:cs="仿宋_GB2312"/>
          <w:sz w:val="32"/>
          <w:szCs w:val="32"/>
          <w:highlight w:val="none"/>
        </w:rPr>
      </w:pPr>
      <w:r>
        <w:rPr>
          <w:rFonts w:hint="eastAsia"/>
          <w:highlight w:val="none"/>
          <w:lang w:val="en-US" w:eastAsia="zh-CN"/>
        </w:rPr>
        <w:t>（1）于</w:t>
      </w:r>
      <w:r>
        <w:rPr>
          <w:rFonts w:hint="eastAsia" w:ascii="仿宋_GB2312" w:hAnsi="仿宋_GB2312" w:eastAsia="仿宋_GB2312" w:cs="仿宋_GB2312"/>
          <w:highlight w:val="none"/>
          <w:lang w:val="en-US" w:eastAsia="zh-CN"/>
        </w:rPr>
        <w:t>**</w:t>
      </w:r>
      <w:r>
        <w:rPr>
          <w:rFonts w:hint="eastAsia"/>
          <w:highlight w:val="none"/>
          <w:lang w:eastAsia="zh-CN"/>
        </w:rPr>
        <w:t>，</w:t>
      </w:r>
      <w:r>
        <w:rPr>
          <w:rFonts w:hint="eastAsia"/>
          <w:highlight w:val="none"/>
          <w:lang w:val="en-US" w:eastAsia="zh-CN"/>
        </w:rPr>
        <w:t>男，群众，建科建设泵车司机</w:t>
      </w:r>
      <w:r>
        <w:rPr>
          <w:rFonts w:hint="eastAsia"/>
          <w:highlight w:val="none"/>
          <w:lang w:eastAsia="zh-CN"/>
        </w:rPr>
        <w:t>，</w:t>
      </w:r>
      <w:r>
        <w:rPr>
          <w:rFonts w:hint="eastAsia"/>
          <w:highlight w:val="none"/>
          <w:lang w:val="en-US" w:eastAsia="zh-CN"/>
        </w:rPr>
        <w:t>负责驾驶及操作混凝土泵车，违反安全生产有关规定</w:t>
      </w:r>
      <w:r>
        <w:rPr>
          <w:rFonts w:hint="eastAsia" w:cs="Times New Roman"/>
          <w:sz w:val="32"/>
          <w:szCs w:val="32"/>
          <w:highlight w:val="none"/>
          <w:lang w:val="en-US" w:eastAsia="zh-CN"/>
        </w:rPr>
        <w:t>，</w:t>
      </w:r>
      <w:r>
        <w:rPr>
          <w:rFonts w:hint="eastAsia" w:ascii="仿宋_GB2312" w:hAnsi="黑体" w:eastAsia="仿宋_GB2312" w:cs="仿宋_GB2312"/>
          <w:sz w:val="32"/>
          <w:szCs w:val="32"/>
          <w:highlight w:val="none"/>
        </w:rPr>
        <w:t>对事故发生负有责任，涉嫌重大责任</w:t>
      </w:r>
      <w:r>
        <w:rPr>
          <w:rFonts w:hint="default" w:ascii="Times New Roman" w:hAnsi="Times New Roman" w:eastAsia="仿宋_GB2312" w:cs="Times New Roman"/>
          <w:sz w:val="32"/>
          <w:szCs w:val="32"/>
          <w:highlight w:val="none"/>
        </w:rPr>
        <w:t>事故罪，</w:t>
      </w:r>
      <w:r>
        <w:rPr>
          <w:rFonts w:hint="eastAsia" w:ascii="仿宋_GB2312" w:hAnsi="黑体" w:eastAsia="仿宋_GB2312" w:cs="仿宋_GB2312"/>
          <w:sz w:val="32"/>
          <w:szCs w:val="32"/>
          <w:highlight w:val="none"/>
        </w:rPr>
        <w:t>建议依法追究刑事责任。</w:t>
      </w:r>
    </w:p>
    <w:p w14:paraId="7C8B7FD9">
      <w:pPr>
        <w:keepNext w:val="0"/>
        <w:keepLines w:val="0"/>
        <w:pageBreakBefore w:val="0"/>
        <w:kinsoku/>
        <w:wordWrap/>
        <w:overflowPunct/>
        <w:topLinePunct w:val="0"/>
        <w:autoSpaceDN/>
        <w:bidi w:val="0"/>
        <w:adjustRightInd/>
        <w:snapToGrid/>
        <w:spacing w:line="560" w:lineRule="exact"/>
        <w:ind w:left="0" w:leftChars="0" w:firstLine="640" w:firstLineChars="200"/>
        <w:jc w:val="both"/>
        <w:rPr>
          <w:rFonts w:hint="eastAsia"/>
          <w:color w:val="0000FF"/>
          <w:highlight w:val="none"/>
          <w:lang w:eastAsia="zh-CN"/>
        </w:rPr>
      </w:pPr>
      <w:r>
        <w:rPr>
          <w:rFonts w:hint="eastAsia"/>
          <w:highlight w:val="none"/>
          <w:lang w:val="en-US" w:eastAsia="zh-CN"/>
        </w:rPr>
        <w:t>（2）刘</w:t>
      </w:r>
      <w:r>
        <w:rPr>
          <w:rFonts w:hint="eastAsia" w:ascii="仿宋_GB2312" w:hAnsi="仿宋_GB2312" w:eastAsia="仿宋_GB2312" w:cs="仿宋_GB2312"/>
          <w:highlight w:val="none"/>
          <w:lang w:val="en-US" w:eastAsia="zh-CN"/>
        </w:rPr>
        <w:t>**</w:t>
      </w:r>
      <w:r>
        <w:rPr>
          <w:rFonts w:hint="eastAsia"/>
          <w:highlight w:val="none"/>
          <w:lang w:eastAsia="zh-CN"/>
        </w:rPr>
        <w:t>，</w:t>
      </w:r>
      <w:r>
        <w:rPr>
          <w:rFonts w:hint="eastAsia"/>
          <w:highlight w:val="none"/>
          <w:lang w:val="en-US" w:eastAsia="zh-CN"/>
        </w:rPr>
        <w:t>男，群众，双子建设项目经理</w:t>
      </w:r>
      <w:r>
        <w:rPr>
          <w:rFonts w:hint="eastAsia"/>
          <w:highlight w:val="none"/>
          <w:lang w:eastAsia="zh-CN"/>
        </w:rPr>
        <w:t>，</w:t>
      </w:r>
      <w:r>
        <w:rPr>
          <w:rFonts w:hint="eastAsia"/>
          <w:highlight w:val="none"/>
          <w:lang w:val="en-US" w:eastAsia="zh-CN"/>
        </w:rPr>
        <w:t>全面负责森霆春晓项目大区景观工程</w:t>
      </w:r>
      <w:r>
        <w:rPr>
          <w:rFonts w:hint="eastAsia" w:ascii="仿宋_GB2312" w:hAnsi="黑体" w:eastAsia="仿宋_GB2312" w:cs="仿宋_GB2312"/>
          <w:sz w:val="32"/>
          <w:szCs w:val="32"/>
          <w:highlight w:val="none"/>
        </w:rPr>
        <w:t>安全生产工作</w:t>
      </w:r>
      <w:r>
        <w:rPr>
          <w:rFonts w:hint="eastAsia" w:ascii="仿宋_GB2312" w:hAnsi="黑体" w:cs="仿宋_GB2312"/>
          <w:sz w:val="32"/>
          <w:szCs w:val="32"/>
          <w:highlight w:val="none"/>
          <w:lang w:val="en-US" w:eastAsia="zh-CN"/>
        </w:rPr>
        <w:t>，违反安全生产有关规定，</w:t>
      </w:r>
      <w:r>
        <w:rPr>
          <w:rFonts w:hint="eastAsia" w:ascii="仿宋_GB2312" w:hAnsi="黑体" w:eastAsia="仿宋_GB2312" w:cs="仿宋_GB2312"/>
          <w:sz w:val="32"/>
          <w:szCs w:val="32"/>
          <w:highlight w:val="none"/>
        </w:rPr>
        <w:t>对事故发生负有责任，涉嫌重大责任事故罪，建议依法追究刑事责任</w:t>
      </w:r>
      <w:r>
        <w:rPr>
          <w:rFonts w:hint="eastAsia" w:ascii="仿宋_GB2312" w:hAnsi="黑体" w:cs="仿宋_GB2312"/>
          <w:sz w:val="32"/>
          <w:szCs w:val="32"/>
          <w:highlight w:val="none"/>
          <w:lang w:eastAsia="zh-CN"/>
        </w:rPr>
        <w:t>。</w:t>
      </w:r>
    </w:p>
    <w:p w14:paraId="69BCD0B9">
      <w:pPr>
        <w:pStyle w:val="3"/>
        <w:bidi w:val="0"/>
        <w:rPr>
          <w:rFonts w:hint="default"/>
          <w:highlight w:val="none"/>
          <w:lang w:val="en-US" w:eastAsia="zh-CN"/>
        </w:rPr>
      </w:pPr>
      <w:bookmarkStart w:id="163" w:name="_Toc31193"/>
      <w:bookmarkStart w:id="164" w:name="_Toc11007"/>
      <w:bookmarkStart w:id="165" w:name="_Toc23612"/>
      <w:bookmarkStart w:id="166" w:name="_Toc14013"/>
      <w:bookmarkStart w:id="167" w:name="_Toc21429"/>
      <w:bookmarkStart w:id="168" w:name="_Toc27152"/>
      <w:bookmarkStart w:id="169" w:name="_Toc15588"/>
      <w:bookmarkStart w:id="170" w:name="_Toc2657"/>
      <w:r>
        <w:rPr>
          <w:rFonts w:hint="eastAsia"/>
          <w:highlight w:val="none"/>
          <w:lang w:val="en-US" w:eastAsia="zh-CN"/>
        </w:rPr>
        <w:t>（三）对有关</w:t>
      </w:r>
      <w:r>
        <w:rPr>
          <w:rFonts w:hint="eastAsia"/>
          <w:highlight w:val="none"/>
          <w:lang w:eastAsia="zh-CN"/>
        </w:rPr>
        <w:t>公职人员</w:t>
      </w:r>
      <w:r>
        <w:rPr>
          <w:rFonts w:hint="eastAsia"/>
          <w:highlight w:val="none"/>
          <w:lang w:val="en-US" w:eastAsia="zh-CN"/>
        </w:rPr>
        <w:t>的处理建议</w:t>
      </w:r>
      <w:bookmarkEnd w:id="163"/>
      <w:bookmarkEnd w:id="164"/>
      <w:bookmarkEnd w:id="165"/>
      <w:bookmarkEnd w:id="166"/>
      <w:bookmarkEnd w:id="167"/>
      <w:bookmarkEnd w:id="168"/>
      <w:bookmarkEnd w:id="169"/>
      <w:bookmarkEnd w:id="170"/>
    </w:p>
    <w:p w14:paraId="7335B921">
      <w:pPr>
        <w:bidi w:val="0"/>
        <w:ind w:firstLine="640"/>
        <w:rPr>
          <w:rFonts w:hint="eastAsia"/>
          <w:highlight w:val="none"/>
          <w:lang w:val="en-US" w:eastAsia="zh-CN"/>
        </w:rPr>
      </w:pPr>
      <w:r>
        <w:rPr>
          <w:rFonts w:hint="eastAsia"/>
          <w:highlight w:val="none"/>
          <w:lang w:val="en-US" w:eastAsia="zh-CN"/>
        </w:rPr>
        <w:t>（1）吕</w:t>
      </w:r>
      <w:r>
        <w:rPr>
          <w:rFonts w:hint="eastAsia" w:ascii="仿宋_GB2312" w:hAnsi="仿宋_GB2312" w:eastAsia="仿宋_GB2312" w:cs="仿宋_GB2312"/>
          <w:highlight w:val="none"/>
          <w:lang w:val="en-US" w:eastAsia="zh-CN"/>
        </w:rPr>
        <w:t>*</w:t>
      </w:r>
      <w:r>
        <w:rPr>
          <w:rFonts w:hint="eastAsia"/>
          <w:highlight w:val="none"/>
          <w:lang w:val="en-US" w:eastAsia="zh-CN"/>
        </w:rPr>
        <w:t>，男，中共党员，莱山区住建局，负责森霆春晓项目监督管理，未发现相关单位安全主体责任落实不到位，履职不到位，对事故的发生负有直接监管责任，建议给予其警告处分。</w:t>
      </w:r>
    </w:p>
    <w:p w14:paraId="3BBAE052">
      <w:pPr>
        <w:bidi w:val="0"/>
        <w:ind w:firstLine="640"/>
        <w:rPr>
          <w:rFonts w:hint="eastAsia"/>
          <w:highlight w:val="none"/>
          <w:lang w:val="en-US" w:eastAsia="zh-CN"/>
        </w:rPr>
      </w:pPr>
      <w:r>
        <w:rPr>
          <w:rFonts w:hint="eastAsia"/>
          <w:highlight w:val="none"/>
          <w:lang w:val="en-US" w:eastAsia="zh-CN"/>
        </w:rPr>
        <w:t>（2）吴</w:t>
      </w:r>
      <w:r>
        <w:rPr>
          <w:rFonts w:hint="eastAsia" w:ascii="仿宋_GB2312" w:hAnsi="仿宋_GB2312" w:eastAsia="仿宋_GB2312" w:cs="仿宋_GB2312"/>
          <w:highlight w:val="none"/>
          <w:lang w:val="en-US" w:eastAsia="zh-CN"/>
        </w:rPr>
        <w:t>**</w:t>
      </w:r>
      <w:r>
        <w:rPr>
          <w:rFonts w:hint="eastAsia"/>
          <w:highlight w:val="none"/>
          <w:lang w:val="en-US" w:eastAsia="zh-CN"/>
        </w:rPr>
        <w:t>，男，群众，莱山区住建局，对吕</w:t>
      </w:r>
      <w:r>
        <w:rPr>
          <w:rFonts w:hint="eastAsia" w:ascii="仿宋_GB2312" w:hAnsi="仿宋_GB2312" w:eastAsia="仿宋_GB2312" w:cs="仿宋_GB2312"/>
          <w:highlight w:val="none"/>
          <w:lang w:val="en-US" w:eastAsia="zh-CN"/>
        </w:rPr>
        <w:t>*</w:t>
      </w:r>
      <w:r>
        <w:rPr>
          <w:rFonts w:hint="eastAsia"/>
          <w:highlight w:val="none"/>
          <w:lang w:val="en-US" w:eastAsia="zh-CN"/>
        </w:rPr>
        <w:t>未规范履职监管不到位，对事故的发生负有主要责任，建议给予其诫勉。</w:t>
      </w:r>
    </w:p>
    <w:p w14:paraId="4D678141">
      <w:pPr>
        <w:bidi w:val="0"/>
        <w:ind w:firstLine="640"/>
        <w:rPr>
          <w:rFonts w:hint="eastAsia"/>
          <w:highlight w:val="none"/>
          <w:lang w:val="en-US" w:eastAsia="zh-CN"/>
        </w:rPr>
      </w:pPr>
      <w:r>
        <w:rPr>
          <w:rFonts w:hint="eastAsia"/>
          <w:highlight w:val="none"/>
          <w:lang w:val="en-US" w:eastAsia="zh-CN"/>
        </w:rPr>
        <w:t>（3）刘</w:t>
      </w:r>
      <w:r>
        <w:rPr>
          <w:rFonts w:hint="eastAsia" w:ascii="仿宋_GB2312" w:hAnsi="仿宋_GB2312" w:eastAsia="仿宋_GB2312" w:cs="仿宋_GB2312"/>
          <w:highlight w:val="none"/>
          <w:lang w:val="en-US" w:eastAsia="zh-CN"/>
        </w:rPr>
        <w:t>**</w:t>
      </w:r>
      <w:r>
        <w:rPr>
          <w:rFonts w:hint="eastAsia"/>
          <w:highlight w:val="none"/>
          <w:lang w:val="en-US" w:eastAsia="zh-CN"/>
        </w:rPr>
        <w:t>，男，中共党员，莱山区住建局，分管莱山区建设工程事务服务中心，未及时发现</w:t>
      </w:r>
      <w:r>
        <w:rPr>
          <w:rFonts w:hint="eastAsia"/>
          <w:highlight w:val="none"/>
          <w:lang w:eastAsia="zh-CN"/>
        </w:rPr>
        <w:t>房屋</w:t>
      </w:r>
      <w:r>
        <w:rPr>
          <w:rFonts w:hint="eastAsia"/>
          <w:highlight w:val="none"/>
          <w:lang w:val="en-US" w:eastAsia="zh-CN"/>
        </w:rPr>
        <w:t>建筑工程事务服务中心</w:t>
      </w:r>
      <w:r>
        <w:rPr>
          <w:rFonts w:hint="eastAsia"/>
          <w:highlight w:val="none"/>
          <w:lang w:eastAsia="zh-CN"/>
        </w:rPr>
        <w:t>房屋建筑工程安全科</w:t>
      </w:r>
      <w:r>
        <w:rPr>
          <w:rFonts w:hint="eastAsia"/>
          <w:highlight w:val="none"/>
          <w:lang w:val="en-US" w:eastAsia="zh-CN"/>
        </w:rPr>
        <w:t>履职管理不到位，对事故的发生负有重要责任，建议给予其通报。</w:t>
      </w:r>
    </w:p>
    <w:p w14:paraId="17AFA424">
      <w:pPr>
        <w:bidi w:val="0"/>
        <w:rPr>
          <w:rFonts w:hint="default"/>
          <w:highlight w:val="none"/>
          <w:lang w:val="en-US" w:eastAsia="zh-CN"/>
        </w:rPr>
      </w:pPr>
      <w:r>
        <w:rPr>
          <w:rFonts w:hint="eastAsia"/>
          <w:highlight w:val="none"/>
          <w:lang w:val="en-US" w:eastAsia="zh-CN"/>
        </w:rPr>
        <w:t>（4）吕</w:t>
      </w:r>
      <w:r>
        <w:rPr>
          <w:rFonts w:hint="eastAsia" w:ascii="仿宋_GB2312" w:hAnsi="仿宋_GB2312" w:eastAsia="仿宋_GB2312" w:cs="仿宋_GB2312"/>
          <w:highlight w:val="none"/>
          <w:lang w:val="en-US" w:eastAsia="zh-CN"/>
        </w:rPr>
        <w:t>**</w:t>
      </w:r>
      <w:r>
        <w:rPr>
          <w:rFonts w:hint="eastAsia"/>
          <w:highlight w:val="none"/>
          <w:lang w:val="en-US" w:eastAsia="zh-CN"/>
        </w:rPr>
        <w:t>，男，群众，</w:t>
      </w:r>
      <w:r>
        <w:rPr>
          <w:rFonts w:hint="eastAsia"/>
          <w:highlight w:val="none"/>
          <w:lang w:eastAsia="zh-CN"/>
        </w:rPr>
        <w:t>莱山区经济开发区管理委员会</w:t>
      </w:r>
      <w:r>
        <w:rPr>
          <w:rFonts w:hint="eastAsia"/>
          <w:highlight w:val="none"/>
          <w:lang w:val="en-US" w:eastAsia="zh-CN"/>
        </w:rPr>
        <w:t>，对森霆春晓项目未按照职责进行巡查、检查，履职不到位，对事故的发生负有直接监管责任，建议给予其</w:t>
      </w:r>
      <w:r>
        <w:rPr>
          <w:rFonts w:hint="eastAsia" w:ascii="仿宋_GB2312" w:hAnsi="仿宋_GB2312" w:cs="仿宋_GB2312"/>
          <w:highlight w:val="none"/>
          <w:lang w:val="en-US" w:eastAsia="zh-CN"/>
        </w:rPr>
        <w:t>诫勉</w:t>
      </w:r>
      <w:r>
        <w:rPr>
          <w:rFonts w:hint="eastAsia"/>
          <w:highlight w:val="none"/>
          <w:lang w:val="en-US" w:eastAsia="zh-CN"/>
        </w:rPr>
        <w:t>。</w:t>
      </w:r>
    </w:p>
    <w:p w14:paraId="2F75E9D6">
      <w:pPr>
        <w:bidi w:val="0"/>
        <w:rPr>
          <w:rFonts w:hint="default"/>
          <w:highlight w:val="none"/>
          <w:lang w:val="en-US" w:eastAsia="zh-CN"/>
        </w:rPr>
      </w:pPr>
      <w:r>
        <w:rPr>
          <w:rFonts w:hint="eastAsia"/>
          <w:highlight w:val="none"/>
          <w:lang w:val="en-US" w:eastAsia="zh-CN"/>
        </w:rPr>
        <w:t>（5）徐</w:t>
      </w:r>
      <w:r>
        <w:rPr>
          <w:rFonts w:hint="eastAsia" w:ascii="仿宋_GB2312" w:hAnsi="仿宋_GB2312" w:eastAsia="仿宋_GB2312" w:cs="仿宋_GB2312"/>
          <w:highlight w:val="none"/>
          <w:lang w:val="en-US" w:eastAsia="zh-CN"/>
        </w:rPr>
        <w:t>**</w:t>
      </w:r>
      <w:r>
        <w:rPr>
          <w:rFonts w:hint="eastAsia"/>
          <w:highlight w:val="none"/>
          <w:lang w:val="en-US" w:eastAsia="zh-CN"/>
        </w:rPr>
        <w:t>，男，中共党员，</w:t>
      </w:r>
      <w:r>
        <w:rPr>
          <w:rFonts w:hint="eastAsia"/>
          <w:highlight w:val="none"/>
          <w:lang w:eastAsia="zh-CN"/>
        </w:rPr>
        <w:t>莱山区经济开发区管理委员会</w:t>
      </w:r>
      <w:r>
        <w:rPr>
          <w:rFonts w:hint="eastAsia"/>
          <w:highlight w:val="none"/>
          <w:lang w:val="en-US" w:eastAsia="zh-CN"/>
        </w:rPr>
        <w:t>，对吕</w:t>
      </w:r>
      <w:r>
        <w:rPr>
          <w:rFonts w:hint="eastAsia" w:ascii="仿宋_GB2312" w:hAnsi="仿宋_GB2312" w:eastAsia="仿宋_GB2312" w:cs="仿宋_GB2312"/>
          <w:highlight w:val="none"/>
          <w:lang w:val="en-US" w:eastAsia="zh-CN"/>
        </w:rPr>
        <w:t>**</w:t>
      </w:r>
      <w:r>
        <w:rPr>
          <w:rFonts w:hint="eastAsia"/>
          <w:highlight w:val="none"/>
          <w:lang w:val="en-US" w:eastAsia="zh-CN"/>
        </w:rPr>
        <w:t>未规范履职监管不到位，对事故的发生负有重要责任，建议给予其通报。</w:t>
      </w:r>
    </w:p>
    <w:p w14:paraId="7A8091F4">
      <w:pPr>
        <w:pStyle w:val="3"/>
        <w:bidi w:val="0"/>
        <w:rPr>
          <w:rFonts w:hint="eastAsia" w:ascii="仿宋_GB2312" w:hAnsi="仿宋_GB2312" w:eastAsia="仿宋_GB2312" w:cs="仿宋_GB2312"/>
          <w:color w:val="auto"/>
          <w:sz w:val="30"/>
          <w:szCs w:val="30"/>
          <w:highlight w:val="none"/>
          <w:lang w:eastAsia="zh-CN"/>
        </w:rPr>
      </w:pPr>
      <w:bookmarkStart w:id="171" w:name="_Toc32587"/>
      <w:bookmarkStart w:id="172" w:name="_Toc18708"/>
      <w:bookmarkStart w:id="173" w:name="_Toc23915"/>
      <w:bookmarkStart w:id="174" w:name="_Toc10658"/>
      <w:bookmarkStart w:id="175" w:name="_Toc569"/>
      <w:bookmarkStart w:id="176" w:name="_Toc6235"/>
      <w:bookmarkStart w:id="177" w:name="_Toc7735"/>
      <w:bookmarkStart w:id="178" w:name="_Toc9382"/>
      <w:r>
        <w:rPr>
          <w:rFonts w:hint="eastAsia"/>
          <w:highlight w:val="none"/>
          <w:lang w:eastAsia="zh-CN"/>
        </w:rPr>
        <w:t>（</w:t>
      </w:r>
      <w:r>
        <w:rPr>
          <w:rFonts w:hint="eastAsia"/>
          <w:highlight w:val="none"/>
          <w:lang w:val="en-US" w:eastAsia="zh-CN"/>
        </w:rPr>
        <w:t>四</w:t>
      </w:r>
      <w:r>
        <w:rPr>
          <w:rFonts w:hint="eastAsia"/>
          <w:highlight w:val="none"/>
          <w:lang w:eastAsia="zh-CN"/>
        </w:rPr>
        <w:t>）</w:t>
      </w:r>
      <w:r>
        <w:rPr>
          <w:rFonts w:hint="eastAsia"/>
          <w:highlight w:val="none"/>
          <w:lang w:val="en-US" w:eastAsia="zh-CN"/>
        </w:rPr>
        <w:t>对事故有关责任单位和责任人员的处理建议</w:t>
      </w:r>
      <w:bookmarkEnd w:id="171"/>
      <w:bookmarkEnd w:id="172"/>
      <w:bookmarkEnd w:id="173"/>
      <w:bookmarkEnd w:id="174"/>
      <w:bookmarkEnd w:id="175"/>
      <w:bookmarkEnd w:id="176"/>
      <w:bookmarkEnd w:id="177"/>
      <w:bookmarkEnd w:id="178"/>
    </w:p>
    <w:p w14:paraId="64526EC2">
      <w:pPr>
        <w:pStyle w:val="5"/>
        <w:bidi w:val="0"/>
        <w:rPr>
          <w:rFonts w:hint="default"/>
          <w:highlight w:val="none"/>
          <w:lang w:val="en-US" w:eastAsia="zh-CN"/>
        </w:rPr>
      </w:pPr>
      <w:r>
        <w:rPr>
          <w:rFonts w:hint="eastAsia"/>
          <w:highlight w:val="none"/>
          <w:lang w:val="en-US" w:eastAsia="zh-CN"/>
        </w:rPr>
        <w:t>1.对事故有关责任单位的处理建议</w:t>
      </w:r>
    </w:p>
    <w:p w14:paraId="2D60EBED">
      <w:pPr>
        <w:bidi w:val="0"/>
        <w:rPr>
          <w:rFonts w:hint="eastAsia"/>
          <w:highlight w:val="none"/>
          <w:lang w:eastAsia="zh-CN"/>
        </w:rPr>
      </w:pPr>
      <w:r>
        <w:rPr>
          <w:rFonts w:hint="eastAsia"/>
          <w:color w:val="auto"/>
          <w:highlight w:val="none"/>
          <w:lang w:val="en-US" w:eastAsia="zh-CN"/>
        </w:rPr>
        <w:t>（1）烟台双子</w:t>
      </w:r>
      <w:r>
        <w:rPr>
          <w:rFonts w:hint="eastAsia"/>
          <w:color w:val="auto"/>
          <w:highlight w:val="none"/>
          <w:lang w:eastAsia="zh-CN"/>
        </w:rPr>
        <w:t>建设工程有限公司主体责任落实不到位，对事故的发生负有责任，</w:t>
      </w:r>
      <w:r>
        <w:rPr>
          <w:rFonts w:hint="eastAsia"/>
          <w:color w:val="auto"/>
          <w:highlight w:val="none"/>
          <w:lang w:val="en-US" w:eastAsia="zh-CN"/>
        </w:rPr>
        <w:t>建议莱山区应急管理局按照</w:t>
      </w:r>
      <w:r>
        <w:rPr>
          <w:rFonts w:hint="eastAsia"/>
          <w:color w:val="auto"/>
          <w:highlight w:val="none"/>
          <w:lang w:eastAsia="zh-CN"/>
        </w:rPr>
        <w:t>《</w:t>
      </w:r>
      <w:r>
        <w:rPr>
          <w:rFonts w:hint="eastAsia"/>
          <w:color w:val="auto"/>
          <w:highlight w:val="none"/>
          <w:lang w:val="en-US" w:eastAsia="zh-CN"/>
        </w:rPr>
        <w:t>中华人民共和国</w:t>
      </w:r>
      <w:r>
        <w:rPr>
          <w:rFonts w:hint="eastAsia"/>
          <w:color w:val="auto"/>
          <w:highlight w:val="none"/>
          <w:lang w:eastAsia="zh-CN"/>
        </w:rPr>
        <w:t>安全生产法》第一百一十四</w:t>
      </w:r>
      <w:r>
        <w:rPr>
          <w:rFonts w:hint="eastAsia" w:ascii="仿宋_GB2312" w:hAnsi="仿宋_GB2312" w:eastAsia="仿宋_GB2312" w:cs="仿宋_GB2312"/>
          <w:color w:val="auto"/>
          <w:highlight w:val="none"/>
          <w:lang w:eastAsia="zh-CN"/>
        </w:rPr>
        <w:t>条，</w:t>
      </w:r>
      <w:r>
        <w:rPr>
          <w:rFonts w:hint="eastAsia" w:ascii="仿宋_GB2312" w:hAnsi="仿宋_GB2312" w:eastAsia="仿宋_GB2312" w:cs="仿宋_GB2312"/>
          <w:color w:val="auto"/>
          <w:highlight w:val="none"/>
          <w:lang w:val="en-US" w:eastAsia="zh-CN"/>
        </w:rPr>
        <w:t>结合</w:t>
      </w:r>
      <w:r>
        <w:rPr>
          <w:rFonts w:hint="eastAsia"/>
          <w:color w:val="auto"/>
          <w:highlight w:val="none"/>
          <w:lang w:val="en-US" w:eastAsia="zh-CN"/>
        </w:rPr>
        <w:t>《生产安全事故罚款处罚规定》（中华人民共和国应急管理部令 第14号）第十四条第三项</w:t>
      </w:r>
      <w:r>
        <w:rPr>
          <w:rFonts w:hint="eastAsia" w:ascii="仿宋_GB2312" w:hAnsi="仿宋_GB2312" w:eastAsia="仿宋_GB2312" w:cs="仿宋_GB2312"/>
          <w:color w:val="auto"/>
          <w:highlight w:val="none"/>
          <w:lang w:val="en-US" w:eastAsia="zh-CN"/>
        </w:rPr>
        <w:t>的规定</w:t>
      </w:r>
      <w:r>
        <w:rPr>
          <w:rFonts w:hint="eastAsia"/>
          <w:color w:val="auto"/>
          <w:highlight w:val="none"/>
          <w:lang w:val="en-US" w:eastAsia="zh-CN"/>
        </w:rPr>
        <w:t>，对其处85</w:t>
      </w:r>
      <w:r>
        <w:rPr>
          <w:rFonts w:hint="eastAsia"/>
          <w:color w:val="auto"/>
          <w:highlight w:val="none"/>
          <w:lang w:eastAsia="zh-CN"/>
        </w:rPr>
        <w:t>万元的罚</w:t>
      </w:r>
      <w:r>
        <w:rPr>
          <w:rFonts w:hint="eastAsia"/>
          <w:color w:val="auto"/>
          <w:highlight w:val="none"/>
          <w:lang w:val="en-US" w:eastAsia="zh-CN"/>
        </w:rPr>
        <w:t>款</w:t>
      </w:r>
      <w:r>
        <w:rPr>
          <w:rFonts w:hint="eastAsia"/>
          <w:color w:val="auto"/>
          <w:highlight w:val="none"/>
          <w:lang w:eastAsia="zh-CN"/>
        </w:rPr>
        <w:t>。</w:t>
      </w:r>
    </w:p>
    <w:p w14:paraId="2FC01618">
      <w:pPr>
        <w:bidi w:val="0"/>
        <w:rPr>
          <w:rFonts w:hint="eastAsia"/>
          <w:highlight w:val="none"/>
          <w:lang w:eastAsia="zh-CN"/>
        </w:rPr>
      </w:pPr>
      <w:r>
        <w:rPr>
          <w:rFonts w:hint="eastAsia"/>
          <w:highlight w:val="none"/>
          <w:lang w:val="en-US" w:eastAsia="zh-CN"/>
        </w:rPr>
        <w:t>（2）</w:t>
      </w:r>
      <w:r>
        <w:rPr>
          <w:rFonts w:hint="default"/>
          <w:highlight w:val="none"/>
          <w:lang w:val="en-US" w:eastAsia="zh-CN"/>
        </w:rPr>
        <w:t>山东建科装配化建设股份有限公司</w:t>
      </w:r>
      <w:r>
        <w:rPr>
          <w:rFonts w:hint="eastAsia"/>
          <w:highlight w:val="none"/>
          <w:lang w:eastAsia="zh-CN"/>
        </w:rPr>
        <w:t>主体责任落实不到位，</w:t>
      </w:r>
      <w:r>
        <w:rPr>
          <w:rFonts w:hint="eastAsia"/>
          <w:highlight w:val="none"/>
          <w:lang w:val="en-US" w:eastAsia="zh-CN"/>
        </w:rPr>
        <w:t>对事故发生</w:t>
      </w:r>
      <w:r>
        <w:rPr>
          <w:rFonts w:hint="eastAsia"/>
          <w:highlight w:val="none"/>
          <w:lang w:eastAsia="zh-CN"/>
        </w:rPr>
        <w:t>负有责任，</w:t>
      </w:r>
      <w:r>
        <w:rPr>
          <w:rFonts w:hint="eastAsia"/>
          <w:highlight w:val="none"/>
          <w:lang w:val="en-US" w:eastAsia="zh-CN"/>
        </w:rPr>
        <w:t>建议莱山区应急管理局按照</w:t>
      </w:r>
      <w:r>
        <w:rPr>
          <w:rFonts w:hint="eastAsia"/>
          <w:highlight w:val="none"/>
          <w:lang w:eastAsia="zh-CN"/>
        </w:rPr>
        <w:t>《</w:t>
      </w:r>
      <w:r>
        <w:rPr>
          <w:rFonts w:hint="eastAsia"/>
          <w:highlight w:val="none"/>
          <w:lang w:val="en-US" w:eastAsia="zh-CN"/>
        </w:rPr>
        <w:t>中华人民共和国</w:t>
      </w:r>
      <w:r>
        <w:rPr>
          <w:rFonts w:hint="eastAsia"/>
          <w:highlight w:val="none"/>
          <w:lang w:eastAsia="zh-CN"/>
        </w:rPr>
        <w:t>安全生产法》第一百一十四条，</w:t>
      </w:r>
      <w:r>
        <w:rPr>
          <w:rFonts w:hint="eastAsia" w:ascii="仿宋_GB2312" w:hAnsi="仿宋_GB2312" w:eastAsia="仿宋_GB2312" w:cs="仿宋_GB2312"/>
          <w:color w:val="auto"/>
          <w:highlight w:val="none"/>
          <w:lang w:val="en-US" w:eastAsia="zh-CN"/>
        </w:rPr>
        <w:t>结合</w:t>
      </w:r>
      <w:r>
        <w:rPr>
          <w:rFonts w:hint="eastAsia"/>
          <w:color w:val="auto"/>
          <w:highlight w:val="none"/>
          <w:lang w:val="en-US" w:eastAsia="zh-CN"/>
        </w:rPr>
        <w:t>《生产安全事故罚款处罚规定》（中华人民共和国应急管理部令 第14号）第十四条第三项的规定</w:t>
      </w:r>
      <w:r>
        <w:rPr>
          <w:rFonts w:hint="eastAsia"/>
          <w:highlight w:val="none"/>
          <w:lang w:val="en-US" w:eastAsia="zh-CN"/>
        </w:rPr>
        <w:t>，对其处85</w:t>
      </w:r>
      <w:r>
        <w:rPr>
          <w:rFonts w:hint="eastAsia"/>
          <w:highlight w:val="none"/>
          <w:lang w:eastAsia="zh-CN"/>
        </w:rPr>
        <w:t>万元的罚</w:t>
      </w:r>
      <w:r>
        <w:rPr>
          <w:rFonts w:hint="eastAsia"/>
          <w:highlight w:val="none"/>
          <w:lang w:val="en-US" w:eastAsia="zh-CN"/>
        </w:rPr>
        <w:t>款</w:t>
      </w:r>
      <w:r>
        <w:rPr>
          <w:rFonts w:hint="eastAsia"/>
          <w:highlight w:val="none"/>
          <w:lang w:eastAsia="zh-CN"/>
        </w:rPr>
        <w:t>。</w:t>
      </w:r>
    </w:p>
    <w:p w14:paraId="02EC6C59">
      <w:pPr>
        <w:pStyle w:val="5"/>
        <w:bidi w:val="0"/>
        <w:rPr>
          <w:rFonts w:hint="default"/>
          <w:highlight w:val="none"/>
          <w:lang w:val="en-US" w:eastAsia="zh-CN"/>
        </w:rPr>
      </w:pPr>
      <w:r>
        <w:rPr>
          <w:rFonts w:hint="eastAsia"/>
          <w:highlight w:val="none"/>
          <w:lang w:val="en-US" w:eastAsia="zh-CN"/>
        </w:rPr>
        <w:t>2.对事故有关责任人员的处理建议</w:t>
      </w:r>
    </w:p>
    <w:p w14:paraId="18D017FE">
      <w:pPr>
        <w:bidi w:val="0"/>
        <w:rPr>
          <w:rFonts w:hint="eastAsia"/>
          <w:highlight w:val="none"/>
          <w:lang w:eastAsia="zh-CN"/>
        </w:rPr>
      </w:pPr>
      <w:r>
        <w:rPr>
          <w:rFonts w:hint="eastAsia"/>
          <w:highlight w:val="none"/>
          <w:lang w:val="en-US" w:eastAsia="zh-CN"/>
        </w:rPr>
        <w:t>（1）陈</w:t>
      </w:r>
      <w:r>
        <w:rPr>
          <w:rFonts w:hint="eastAsia" w:ascii="仿宋_GB2312" w:hAnsi="仿宋_GB2312" w:eastAsia="仿宋_GB2312" w:cs="仿宋_GB2312"/>
          <w:highlight w:val="none"/>
          <w:lang w:val="en-US" w:eastAsia="zh-CN"/>
        </w:rPr>
        <w:t>*</w:t>
      </w:r>
      <w:r>
        <w:rPr>
          <w:rFonts w:hint="eastAsia"/>
          <w:highlight w:val="none"/>
          <w:lang w:eastAsia="zh-CN"/>
        </w:rPr>
        <w:t>，</w:t>
      </w:r>
      <w:r>
        <w:rPr>
          <w:rFonts w:hint="eastAsia"/>
          <w:highlight w:val="none"/>
          <w:lang w:val="en-US" w:eastAsia="zh-CN"/>
        </w:rPr>
        <w:t>男，群众，双子建设项目土建技术员，负责森霆春晓项目大区景观工程中的道路硬化工程。未对于</w:t>
      </w:r>
      <w:r>
        <w:rPr>
          <w:rFonts w:hint="eastAsia" w:ascii="仿宋_GB2312" w:hAnsi="仿宋_GB2312" w:eastAsia="仿宋_GB2312" w:cs="仿宋_GB2312"/>
          <w:highlight w:val="none"/>
          <w:lang w:val="en-US" w:eastAsia="zh-CN"/>
        </w:rPr>
        <w:t>**</w:t>
      </w:r>
      <w:r>
        <w:rPr>
          <w:rFonts w:hint="eastAsia"/>
          <w:highlight w:val="none"/>
          <w:lang w:val="en-US" w:eastAsia="zh-CN"/>
        </w:rPr>
        <w:t>、罗</w:t>
      </w:r>
      <w:r>
        <w:rPr>
          <w:rFonts w:hint="eastAsia" w:ascii="仿宋_GB2312" w:hAnsi="仿宋_GB2312" w:eastAsia="仿宋_GB2312" w:cs="仿宋_GB2312"/>
          <w:highlight w:val="none"/>
          <w:lang w:val="en-US" w:eastAsia="zh-CN"/>
        </w:rPr>
        <w:t>**</w:t>
      </w:r>
      <w:r>
        <w:rPr>
          <w:rFonts w:hint="eastAsia"/>
          <w:highlight w:val="none"/>
          <w:lang w:val="en-US" w:eastAsia="zh-CN"/>
        </w:rPr>
        <w:t>、侯</w:t>
      </w:r>
      <w:r>
        <w:rPr>
          <w:rFonts w:hint="eastAsia" w:ascii="仿宋_GB2312" w:hAnsi="仿宋_GB2312" w:eastAsia="仿宋_GB2312" w:cs="仿宋_GB2312"/>
          <w:highlight w:val="none"/>
          <w:lang w:val="en-US" w:eastAsia="zh-CN"/>
        </w:rPr>
        <w:t>**</w:t>
      </w:r>
      <w:r>
        <w:rPr>
          <w:rFonts w:hint="eastAsia"/>
          <w:highlight w:val="none"/>
          <w:lang w:val="en-US" w:eastAsia="zh-CN"/>
        </w:rPr>
        <w:t>进行安全技术</w:t>
      </w:r>
      <w:r>
        <w:rPr>
          <w:rFonts w:hint="eastAsia"/>
          <w:color w:val="auto"/>
          <w:highlight w:val="none"/>
          <w:lang w:val="en-US" w:eastAsia="zh-CN"/>
        </w:rPr>
        <w:t>交底，违反《建设工程安全生产管理条例》第二十七条，</w:t>
      </w:r>
      <w:r>
        <w:rPr>
          <w:rFonts w:hint="eastAsia"/>
          <w:highlight w:val="none"/>
          <w:lang w:eastAsia="zh-CN"/>
        </w:rPr>
        <w:t>对事故的发生负</w:t>
      </w:r>
      <w:r>
        <w:rPr>
          <w:rFonts w:hint="eastAsia"/>
          <w:highlight w:val="none"/>
          <w:lang w:val="en-US" w:eastAsia="zh-CN"/>
        </w:rPr>
        <w:t>重要</w:t>
      </w:r>
      <w:r>
        <w:rPr>
          <w:rFonts w:hint="eastAsia"/>
          <w:highlight w:val="none"/>
          <w:lang w:eastAsia="zh-CN"/>
        </w:rPr>
        <w:t>责任，</w:t>
      </w:r>
      <w:r>
        <w:rPr>
          <w:rFonts w:hint="eastAsia"/>
          <w:highlight w:val="none"/>
          <w:lang w:val="en-US" w:eastAsia="zh-CN"/>
        </w:rPr>
        <w:t>建议莱山区应急管理局按照</w:t>
      </w:r>
      <w:r>
        <w:rPr>
          <w:rFonts w:hint="eastAsia"/>
          <w:highlight w:val="none"/>
          <w:lang w:eastAsia="zh-CN"/>
        </w:rPr>
        <w:t>《</w:t>
      </w:r>
      <w:r>
        <w:rPr>
          <w:rFonts w:hint="eastAsia"/>
          <w:highlight w:val="none"/>
          <w:lang w:val="en-US" w:eastAsia="zh-CN"/>
        </w:rPr>
        <w:t>中华人民共和国</w:t>
      </w:r>
      <w:r>
        <w:rPr>
          <w:rFonts w:hint="eastAsia"/>
          <w:highlight w:val="none"/>
          <w:lang w:eastAsia="zh-CN"/>
        </w:rPr>
        <w:t>安全生产法》第九十</w:t>
      </w:r>
      <w:r>
        <w:rPr>
          <w:rFonts w:hint="eastAsia"/>
          <w:highlight w:val="none"/>
          <w:lang w:val="en-US" w:eastAsia="zh-CN"/>
        </w:rPr>
        <w:t>七条第三项</w:t>
      </w:r>
      <w:r>
        <w:rPr>
          <w:rFonts w:hint="eastAsia"/>
          <w:highlight w:val="none"/>
          <w:lang w:eastAsia="zh-CN"/>
        </w:rPr>
        <w:t>，</w:t>
      </w:r>
      <w:r>
        <w:rPr>
          <w:rFonts w:hint="eastAsia"/>
          <w:highlight w:val="none"/>
          <w:lang w:val="en-US" w:eastAsia="zh-CN"/>
        </w:rPr>
        <w:t>对其处二万元以上五万元以下的罚款。</w:t>
      </w:r>
      <w:bookmarkStart w:id="213" w:name="_GoBack"/>
      <w:bookmarkEnd w:id="213"/>
    </w:p>
    <w:p w14:paraId="4ED391EA">
      <w:pPr>
        <w:bidi w:val="0"/>
        <w:rPr>
          <w:rFonts w:hint="eastAsia" w:ascii="仿宋_GB2312" w:hAnsi="仿宋_GB2312" w:cs="仿宋_GB2312"/>
          <w:highlight w:val="none"/>
          <w:lang w:eastAsia="zh-CN"/>
        </w:rPr>
      </w:pPr>
      <w:r>
        <w:rPr>
          <w:rFonts w:hint="eastAsia"/>
          <w:highlight w:val="none"/>
          <w:lang w:val="en-US" w:eastAsia="zh-CN"/>
        </w:rPr>
        <w:t>（2）李</w:t>
      </w:r>
      <w:r>
        <w:rPr>
          <w:rFonts w:hint="eastAsia" w:ascii="仿宋_GB2312" w:hAnsi="仿宋_GB2312" w:eastAsia="仿宋_GB2312" w:cs="仿宋_GB2312"/>
          <w:highlight w:val="none"/>
          <w:lang w:val="en-US" w:eastAsia="zh-CN"/>
        </w:rPr>
        <w:t>**</w:t>
      </w:r>
      <w:r>
        <w:rPr>
          <w:rFonts w:hint="eastAsia"/>
          <w:highlight w:val="none"/>
          <w:lang w:val="en-US" w:eastAsia="zh-CN"/>
        </w:rPr>
        <w:t>，男，群众，双子建设总经理，对双子建设</w:t>
      </w:r>
      <w:r>
        <w:rPr>
          <w:rFonts w:hint="eastAsia" w:ascii="仿宋_GB2312" w:hAnsi="黑体" w:eastAsia="仿宋_GB2312" w:cs="仿宋_GB2312"/>
          <w:sz w:val="32"/>
          <w:szCs w:val="32"/>
          <w:highlight w:val="none"/>
        </w:rPr>
        <w:t>安全生产工作全面负</w:t>
      </w:r>
      <w:r>
        <w:rPr>
          <w:rFonts w:hint="eastAsia" w:ascii="仿宋_GB2312" w:hAnsi="仿宋_GB2312" w:eastAsia="仿宋_GB2312" w:cs="仿宋_GB2312"/>
          <w:sz w:val="32"/>
          <w:szCs w:val="32"/>
          <w:highlight w:val="none"/>
        </w:rPr>
        <w:t>责</w:t>
      </w:r>
      <w:r>
        <w:rPr>
          <w:rFonts w:hint="eastAsia" w:ascii="仿宋_GB2312" w:hAnsi="仿宋_GB2312" w:cs="仿宋_GB2312"/>
          <w:sz w:val="32"/>
          <w:szCs w:val="32"/>
          <w:highlight w:val="none"/>
          <w:lang w:eastAsia="zh-CN"/>
        </w:rPr>
        <w:t>。</w:t>
      </w:r>
      <w:r>
        <w:rPr>
          <w:rFonts w:hint="eastAsia" w:ascii="仿宋_GB2312" w:hAnsi="仿宋_GB2312" w:cs="仿宋_GB2312"/>
          <w:highlight w:val="none"/>
          <w:lang w:val="en-US" w:eastAsia="zh-CN"/>
        </w:rPr>
        <w:t>未组织制定安全操作规程，</w:t>
      </w:r>
      <w:r>
        <w:rPr>
          <w:rFonts w:hint="eastAsia" w:ascii="仿宋_GB2312" w:hAnsi="仿宋_GB2312" w:cs="仿宋_GB2312"/>
          <w:highlight w:val="none"/>
          <w:lang w:eastAsia="zh-CN"/>
        </w:rPr>
        <w:t>对事故的发生负</w:t>
      </w:r>
      <w:r>
        <w:rPr>
          <w:rFonts w:hint="eastAsia" w:ascii="仿宋_GB2312" w:hAnsi="仿宋_GB2312" w:cs="仿宋_GB2312"/>
          <w:highlight w:val="none"/>
          <w:lang w:val="en-US" w:eastAsia="zh-CN"/>
        </w:rPr>
        <w:t>重要</w:t>
      </w:r>
      <w:r>
        <w:rPr>
          <w:rFonts w:hint="eastAsia" w:ascii="仿宋_GB2312" w:hAnsi="仿宋_GB2312" w:cs="仿宋_GB2312"/>
          <w:highlight w:val="none"/>
          <w:lang w:eastAsia="zh-CN"/>
        </w:rPr>
        <w:t>管理责任，</w:t>
      </w:r>
      <w:r>
        <w:rPr>
          <w:rFonts w:hint="eastAsia" w:ascii="仿宋_GB2312" w:hAnsi="仿宋_GB2312" w:cs="仿宋_GB2312"/>
          <w:highlight w:val="none"/>
          <w:lang w:val="en-US" w:eastAsia="zh-CN"/>
        </w:rPr>
        <w:t>违反</w:t>
      </w:r>
      <w:r>
        <w:rPr>
          <w:rFonts w:hint="eastAsia"/>
          <w:lang w:val="en-US" w:eastAsia="zh-CN"/>
        </w:rPr>
        <w:t>《中华人民共和国安全生产法》第二十一条第二项</w:t>
      </w:r>
      <w:r>
        <w:rPr>
          <w:rFonts w:hint="eastAsia" w:ascii="仿宋_GB2312" w:hAnsi="仿宋_GB2312" w:cs="仿宋_GB2312"/>
          <w:highlight w:val="none"/>
          <w:lang w:val="en-US" w:eastAsia="zh-CN"/>
        </w:rPr>
        <w:t>，</w:t>
      </w:r>
      <w:r>
        <w:rPr>
          <w:rFonts w:hint="eastAsia" w:ascii="仿宋_GB2312" w:hAnsi="仿宋_GB2312" w:eastAsia="仿宋_GB2312" w:cs="仿宋_GB2312"/>
          <w:sz w:val="32"/>
          <w:szCs w:val="32"/>
          <w:highlight w:val="none"/>
        </w:rPr>
        <w:t>建议</w:t>
      </w:r>
      <w:r>
        <w:rPr>
          <w:rFonts w:hint="eastAsia" w:ascii="仿宋_GB2312" w:hAnsi="仿宋_GB2312" w:cs="仿宋_GB2312"/>
          <w:sz w:val="32"/>
          <w:szCs w:val="32"/>
          <w:highlight w:val="none"/>
          <w:lang w:val="en-US" w:eastAsia="zh-CN"/>
        </w:rPr>
        <w:t>莱山区</w:t>
      </w:r>
      <w:r>
        <w:rPr>
          <w:rFonts w:hint="eastAsia" w:ascii="仿宋_GB2312" w:hAnsi="仿宋_GB2312" w:eastAsia="仿宋_GB2312" w:cs="仿宋_GB2312"/>
          <w:sz w:val="32"/>
          <w:szCs w:val="32"/>
          <w:highlight w:val="none"/>
        </w:rPr>
        <w:t>应急管理局按照《中华人民共和国安全生产法》第九十五条第一项</w:t>
      </w:r>
      <w:r>
        <w:rPr>
          <w:rFonts w:hint="eastAsia"/>
          <w:sz w:val="32"/>
          <w:szCs w:val="32"/>
          <w:highlight w:val="none"/>
          <w:lang w:val="en-US" w:eastAsia="zh-CN"/>
        </w:rPr>
        <w:t>的规定</w:t>
      </w:r>
      <w:r>
        <w:rPr>
          <w:rFonts w:hint="eastAsia" w:ascii="仿宋_GB2312" w:hAnsi="仿宋_GB2312" w:eastAsia="仿宋_GB2312" w:cs="仿宋_GB2312"/>
          <w:sz w:val="32"/>
          <w:szCs w:val="32"/>
          <w:highlight w:val="none"/>
        </w:rPr>
        <w:t>，对其处</w:t>
      </w:r>
      <w:r>
        <w:rPr>
          <w:rFonts w:hint="eastAsia" w:ascii="仿宋_GB2312" w:hAnsi="仿宋_GB2312" w:cs="仿宋_GB2312"/>
          <w:sz w:val="32"/>
          <w:szCs w:val="32"/>
          <w:highlight w:val="none"/>
          <w:lang w:eastAsia="zh-CN"/>
        </w:rPr>
        <w:t>2</w:t>
      </w:r>
      <w:r>
        <w:rPr>
          <w:rFonts w:hint="eastAsia" w:ascii="仿宋_GB2312" w:hAnsi="仿宋_GB2312" w:cs="仿宋_GB2312"/>
          <w:sz w:val="32"/>
          <w:szCs w:val="32"/>
          <w:highlight w:val="none"/>
          <w:lang w:val="en-US" w:eastAsia="zh-CN"/>
        </w:rPr>
        <w:t>023</w:t>
      </w:r>
      <w:r>
        <w:rPr>
          <w:rFonts w:hint="eastAsia" w:ascii="仿宋_GB2312" w:hAnsi="仿宋_GB2312" w:eastAsia="仿宋_GB2312" w:cs="仿宋_GB2312"/>
          <w:sz w:val="32"/>
          <w:szCs w:val="32"/>
          <w:highlight w:val="none"/>
        </w:rPr>
        <w:t>年年收入40%的罚款</w:t>
      </w:r>
      <w:r>
        <w:rPr>
          <w:rFonts w:hint="eastAsia" w:ascii="仿宋_GB2312" w:hAnsi="仿宋_GB2312" w:cs="仿宋_GB2312"/>
          <w:highlight w:val="none"/>
          <w:lang w:eastAsia="zh-CN"/>
        </w:rPr>
        <w:t>。</w:t>
      </w:r>
    </w:p>
    <w:p w14:paraId="3052E7D7">
      <w:pPr>
        <w:keepNext w:val="0"/>
        <w:keepLines w:val="0"/>
        <w:pageBreakBefore w:val="0"/>
        <w:widowControl w:val="0"/>
        <w:kinsoku w:val="0"/>
        <w:wordWrap/>
        <w:overflowPunct w:val="0"/>
        <w:topLinePunct w:val="0"/>
        <w:autoSpaceDE/>
        <w:autoSpaceDN/>
        <w:bidi w:val="0"/>
        <w:adjustRightInd/>
        <w:snapToGrid/>
        <w:textAlignment w:val="auto"/>
        <w:rPr>
          <w:rFonts w:hint="eastAsia"/>
          <w:highlight w:val="none"/>
          <w:lang w:eastAsia="zh-CN"/>
        </w:rPr>
      </w:pPr>
      <w:r>
        <w:rPr>
          <w:rFonts w:hint="eastAsia" w:ascii="仿宋_GB2312" w:hAnsi="仿宋_GB2312" w:cs="仿宋_GB2312"/>
          <w:highlight w:val="none"/>
          <w:lang w:val="en-US" w:eastAsia="zh-CN"/>
        </w:rPr>
        <w:t>（3）董</w:t>
      </w:r>
      <w:r>
        <w:rPr>
          <w:rFonts w:hint="eastAsia" w:ascii="仿宋_GB2312" w:hAnsi="仿宋_GB2312" w:eastAsia="仿宋_GB2312" w:cs="仿宋_GB2312"/>
          <w:highlight w:val="none"/>
          <w:lang w:val="en-US" w:eastAsia="zh-CN"/>
        </w:rPr>
        <w:t>**</w:t>
      </w:r>
      <w:r>
        <w:rPr>
          <w:rFonts w:hint="eastAsia" w:ascii="仿宋_GB2312" w:hAnsi="仿宋_GB2312" w:cs="仿宋_GB2312"/>
          <w:highlight w:val="none"/>
          <w:lang w:val="en-US" w:eastAsia="zh-CN"/>
        </w:rPr>
        <w:t>，男，群众，建科建设搅拌站站长，负责建科建设搅拌站生产安全，未督促员工严格执行混凝土泵车安全操作规程，违反</w:t>
      </w:r>
      <w:r>
        <w:rPr>
          <w:rFonts w:hint="eastAsia" w:ascii="仿宋_GB2312" w:hAnsi="仿宋_GB2312" w:eastAsia="仿宋_GB2312" w:cs="仿宋_GB2312"/>
          <w:sz w:val="32"/>
          <w:szCs w:val="32"/>
          <w:highlight w:val="none"/>
        </w:rPr>
        <w:t>《中华人民共和国安全生产法》第</w:t>
      </w:r>
      <w:r>
        <w:rPr>
          <w:rFonts w:hint="eastAsia" w:ascii="仿宋_GB2312" w:hAnsi="仿宋_GB2312" w:cs="仿宋_GB2312"/>
          <w:sz w:val="32"/>
          <w:szCs w:val="32"/>
          <w:highlight w:val="none"/>
          <w:lang w:eastAsia="zh-CN"/>
        </w:rPr>
        <w:t>五</w:t>
      </w:r>
      <w:r>
        <w:rPr>
          <w:rFonts w:hint="default" w:ascii="Times New Roman" w:hAnsi="Times New Roman" w:eastAsia="仿宋_GB2312" w:cs="Times New Roman"/>
          <w:sz w:val="32"/>
          <w:szCs w:val="32"/>
          <w:highlight w:val="none"/>
        </w:rPr>
        <w:t>条</w:t>
      </w:r>
      <w:r>
        <w:rPr>
          <w:rFonts w:hint="eastAsia" w:ascii="仿宋_GB2312" w:hAnsi="仿宋_GB2312" w:cs="仿宋_GB2312"/>
          <w:highlight w:val="none"/>
          <w:lang w:eastAsia="zh-CN"/>
        </w:rPr>
        <w:t>，对事故的发生负主要管理责任，</w:t>
      </w:r>
      <w:r>
        <w:rPr>
          <w:rFonts w:hint="eastAsia" w:ascii="仿宋_GB2312" w:hAnsi="仿宋_GB2312" w:cs="仿宋_GB2312"/>
          <w:highlight w:val="none"/>
          <w:lang w:val="en-US" w:eastAsia="zh-CN"/>
        </w:rPr>
        <w:t>建议莱山区应急管理局按照</w:t>
      </w:r>
      <w:r>
        <w:rPr>
          <w:rFonts w:hint="eastAsia" w:ascii="仿宋_GB2312" w:hAnsi="仿宋_GB2312" w:eastAsia="仿宋_GB2312" w:cs="仿宋_GB2312"/>
          <w:sz w:val="32"/>
          <w:szCs w:val="32"/>
          <w:highlight w:val="none"/>
        </w:rPr>
        <w:t>《中华人民共和国安全生产法》第九</w:t>
      </w:r>
      <w:r>
        <w:rPr>
          <w:rFonts w:hint="default" w:ascii="Times New Roman" w:hAnsi="Times New Roman" w:eastAsia="仿宋_GB2312" w:cs="Times New Roman"/>
          <w:sz w:val="32"/>
          <w:szCs w:val="32"/>
          <w:highlight w:val="none"/>
        </w:rPr>
        <w:t>十</w:t>
      </w:r>
      <w:r>
        <w:rPr>
          <w:rFonts w:hint="default" w:ascii="Times New Roman" w:hAnsi="Times New Roman" w:cs="Times New Roman"/>
          <w:sz w:val="32"/>
          <w:szCs w:val="32"/>
          <w:highlight w:val="none"/>
          <w:lang w:eastAsia="zh-CN"/>
        </w:rPr>
        <w:t>六</w:t>
      </w:r>
      <w:r>
        <w:rPr>
          <w:rFonts w:hint="default" w:ascii="Times New Roman" w:hAnsi="Times New Roman" w:eastAsia="仿宋_GB2312" w:cs="Times New Roman"/>
          <w:sz w:val="32"/>
          <w:szCs w:val="32"/>
          <w:highlight w:val="none"/>
        </w:rPr>
        <w:t>条</w:t>
      </w:r>
      <w:r>
        <w:rPr>
          <w:rFonts w:hint="eastAsia"/>
          <w:highlight w:val="none"/>
          <w:lang w:eastAsia="zh-CN"/>
        </w:rPr>
        <w:t>，</w:t>
      </w:r>
      <w:r>
        <w:rPr>
          <w:rFonts w:hint="eastAsia" w:ascii="仿宋_GB2312" w:hAnsi="黑体" w:eastAsia="仿宋_GB2312" w:cs="仿宋_GB2312"/>
          <w:sz w:val="32"/>
          <w:szCs w:val="32"/>
          <w:highlight w:val="none"/>
        </w:rPr>
        <w:t>对其处</w:t>
      </w:r>
      <w:r>
        <w:rPr>
          <w:rFonts w:hint="eastAsia" w:ascii="仿宋_GB2312" w:hAnsi="黑体" w:cs="仿宋_GB2312"/>
          <w:sz w:val="32"/>
          <w:szCs w:val="32"/>
          <w:highlight w:val="none"/>
          <w:lang w:val="en-US" w:eastAsia="zh-CN"/>
        </w:rPr>
        <w:t>2023</w:t>
      </w:r>
      <w:r>
        <w:rPr>
          <w:rFonts w:hint="eastAsia" w:ascii="仿宋_GB2312" w:hAnsi="黑体" w:eastAsia="仿宋_GB2312" w:cs="仿宋_GB2312"/>
          <w:sz w:val="32"/>
          <w:szCs w:val="32"/>
          <w:highlight w:val="none"/>
        </w:rPr>
        <w:t>年年收入</w:t>
      </w:r>
      <w:r>
        <w:rPr>
          <w:rFonts w:hint="eastAsia" w:ascii="仿宋_GB2312" w:hAnsi="黑体" w:cs="仿宋_GB2312"/>
          <w:sz w:val="32"/>
          <w:szCs w:val="32"/>
          <w:highlight w:val="none"/>
          <w:lang w:val="en-US" w:eastAsia="zh-CN"/>
        </w:rPr>
        <w:t>29</w:t>
      </w:r>
      <w:r>
        <w:rPr>
          <w:rFonts w:hint="eastAsia" w:ascii="仿宋_GB2312" w:hAnsi="黑体" w:eastAsia="仿宋_GB2312" w:cs="仿宋_GB2312"/>
          <w:sz w:val="32"/>
          <w:szCs w:val="32"/>
          <w:highlight w:val="none"/>
        </w:rPr>
        <w:t>%的罚款</w:t>
      </w:r>
      <w:r>
        <w:rPr>
          <w:rFonts w:hint="eastAsia" w:ascii="仿宋_GB2312" w:hAnsi="黑体" w:cs="仿宋_GB2312"/>
          <w:sz w:val="32"/>
          <w:szCs w:val="32"/>
          <w:highlight w:val="none"/>
          <w:lang w:eastAsia="zh-CN"/>
        </w:rPr>
        <w:t>，</w:t>
      </w:r>
      <w:r>
        <w:rPr>
          <w:rFonts w:hint="eastAsia"/>
          <w:highlight w:val="none"/>
          <w:lang w:val="en-US" w:eastAsia="zh-CN"/>
        </w:rPr>
        <w:t>建议建科建设将其免职，处理材料上报莱山区安委会办公室</w:t>
      </w:r>
      <w:r>
        <w:rPr>
          <w:rFonts w:hint="eastAsia"/>
          <w:highlight w:val="none"/>
          <w:lang w:eastAsia="zh-CN"/>
        </w:rPr>
        <w:t>。</w:t>
      </w:r>
    </w:p>
    <w:p w14:paraId="59EA6BC4">
      <w:pPr>
        <w:bidi w:val="0"/>
        <w:rPr>
          <w:rFonts w:hint="eastAsia"/>
          <w:highlight w:val="none"/>
          <w:lang w:eastAsia="zh-CN"/>
        </w:rPr>
      </w:pPr>
      <w:r>
        <w:rPr>
          <w:rFonts w:hint="eastAsia"/>
          <w:highlight w:val="none"/>
          <w:lang w:val="en-US" w:eastAsia="zh-CN"/>
        </w:rPr>
        <w:t>（4）黄</w:t>
      </w:r>
      <w:r>
        <w:rPr>
          <w:rFonts w:hint="eastAsia" w:ascii="仿宋_GB2312" w:hAnsi="仿宋_GB2312" w:eastAsia="仿宋_GB2312" w:cs="仿宋_GB2312"/>
          <w:highlight w:val="none"/>
          <w:lang w:val="en-US" w:eastAsia="zh-CN"/>
        </w:rPr>
        <w:t>**</w:t>
      </w:r>
      <w:r>
        <w:rPr>
          <w:rFonts w:hint="eastAsia"/>
          <w:highlight w:val="none"/>
          <w:lang w:val="en-US" w:eastAsia="zh-CN"/>
        </w:rPr>
        <w:t>，男，群众，建科建设总经理，对建科建设</w:t>
      </w:r>
      <w:r>
        <w:rPr>
          <w:rFonts w:hint="eastAsia" w:ascii="仿宋_GB2312" w:hAnsi="黑体" w:eastAsia="仿宋_GB2312" w:cs="仿宋_GB2312"/>
          <w:sz w:val="32"/>
          <w:szCs w:val="32"/>
          <w:highlight w:val="none"/>
        </w:rPr>
        <w:t>安全生产工作全面负责</w:t>
      </w:r>
      <w:r>
        <w:rPr>
          <w:rFonts w:hint="eastAsia" w:ascii="仿宋_GB2312" w:hAnsi="黑体" w:cs="仿宋_GB2312"/>
          <w:sz w:val="32"/>
          <w:szCs w:val="32"/>
          <w:highlight w:val="none"/>
          <w:lang w:eastAsia="zh-CN"/>
        </w:rPr>
        <w:t>，</w:t>
      </w:r>
      <w:r>
        <w:rPr>
          <w:rFonts w:hint="eastAsia"/>
          <w:highlight w:val="none"/>
          <w:lang w:val="en-US" w:eastAsia="zh-CN"/>
        </w:rPr>
        <w:t>未组织实施本单位安全生产教育和培训计划，</w:t>
      </w:r>
      <w:r>
        <w:rPr>
          <w:rFonts w:hint="eastAsia" w:ascii="仿宋_GB2312" w:hAnsi="仿宋_GB2312" w:cs="仿宋_GB2312"/>
          <w:highlight w:val="none"/>
          <w:lang w:val="en-US" w:eastAsia="zh-CN"/>
        </w:rPr>
        <w:t>违反《中华人民共和国安全生产法》第二十一条第三项，</w:t>
      </w:r>
      <w:r>
        <w:rPr>
          <w:rFonts w:hint="eastAsia"/>
          <w:highlight w:val="none"/>
          <w:lang w:eastAsia="zh-CN"/>
        </w:rPr>
        <w:t>对事故的发生负</w:t>
      </w:r>
      <w:r>
        <w:rPr>
          <w:rFonts w:hint="eastAsia"/>
          <w:highlight w:val="none"/>
          <w:lang w:val="en-US" w:eastAsia="zh-CN"/>
        </w:rPr>
        <w:t>重要</w:t>
      </w:r>
      <w:r>
        <w:rPr>
          <w:rFonts w:hint="eastAsia"/>
          <w:highlight w:val="none"/>
          <w:lang w:eastAsia="zh-CN"/>
        </w:rPr>
        <w:t>管理责任，</w:t>
      </w:r>
      <w:r>
        <w:rPr>
          <w:rFonts w:hint="eastAsia"/>
          <w:highlight w:val="none"/>
          <w:lang w:val="en-US" w:eastAsia="zh-CN"/>
        </w:rPr>
        <w:t>建议</w:t>
      </w:r>
      <w:r>
        <w:rPr>
          <w:rFonts w:hint="eastAsia" w:ascii="仿宋_GB2312" w:hAnsi="黑体" w:cs="仿宋_GB2312"/>
          <w:sz w:val="32"/>
          <w:szCs w:val="32"/>
          <w:highlight w:val="none"/>
          <w:lang w:val="en-US" w:eastAsia="zh-CN"/>
        </w:rPr>
        <w:t>莱山区</w:t>
      </w:r>
      <w:r>
        <w:rPr>
          <w:rFonts w:hint="eastAsia" w:ascii="仿宋_GB2312" w:hAnsi="黑体" w:eastAsia="仿宋_GB2312" w:cs="仿宋_GB2312"/>
          <w:sz w:val="32"/>
          <w:szCs w:val="32"/>
          <w:highlight w:val="none"/>
        </w:rPr>
        <w:t>应急管理局按照</w:t>
      </w:r>
      <w:r>
        <w:rPr>
          <w:rFonts w:hint="eastAsia" w:ascii="仿宋_GB2312" w:hAnsi="仿宋_GB2312" w:eastAsia="仿宋_GB2312" w:cs="仿宋_GB2312"/>
          <w:sz w:val="32"/>
          <w:szCs w:val="32"/>
          <w:highlight w:val="none"/>
        </w:rPr>
        <w:t>《中华人民共和国安全生产法》第九十五条第一项</w:t>
      </w:r>
      <w:r>
        <w:rPr>
          <w:rFonts w:hint="eastAsia" w:ascii="仿宋_GB2312" w:hAnsi="黑体" w:eastAsia="仿宋_GB2312" w:cs="仿宋_GB2312"/>
          <w:sz w:val="32"/>
          <w:szCs w:val="32"/>
          <w:highlight w:val="none"/>
        </w:rPr>
        <w:t>，对其处</w:t>
      </w:r>
      <w:r>
        <w:rPr>
          <w:rFonts w:hint="eastAsia" w:ascii="仿宋_GB2312" w:hAnsi="黑体" w:cs="仿宋_GB2312"/>
          <w:sz w:val="32"/>
          <w:szCs w:val="32"/>
          <w:highlight w:val="none"/>
          <w:lang w:val="en-US" w:eastAsia="zh-CN"/>
        </w:rPr>
        <w:t>2023</w:t>
      </w:r>
      <w:r>
        <w:rPr>
          <w:rFonts w:hint="eastAsia" w:ascii="仿宋_GB2312" w:hAnsi="黑体" w:eastAsia="仿宋_GB2312" w:cs="仿宋_GB2312"/>
          <w:sz w:val="32"/>
          <w:szCs w:val="32"/>
          <w:highlight w:val="none"/>
        </w:rPr>
        <w:t>年年收入40%的罚款</w:t>
      </w:r>
      <w:r>
        <w:rPr>
          <w:rFonts w:hint="eastAsia"/>
          <w:highlight w:val="none"/>
          <w:lang w:eastAsia="zh-CN"/>
        </w:rPr>
        <w:t>。</w:t>
      </w:r>
    </w:p>
    <w:p w14:paraId="57011BCE">
      <w:pPr>
        <w:pStyle w:val="3"/>
        <w:keepNext w:val="0"/>
        <w:keepLines w:val="0"/>
        <w:pageBreakBefore w:val="0"/>
        <w:kinsoku/>
        <w:wordWrap/>
        <w:overflowPunct/>
        <w:topLinePunct w:val="0"/>
        <w:autoSpaceDN/>
        <w:bidi w:val="0"/>
        <w:adjustRightInd w:val="0"/>
        <w:snapToGrid w:val="0"/>
        <w:spacing w:line="560" w:lineRule="exact"/>
        <w:ind w:left="0" w:leftChars="0" w:firstLine="643" w:firstLineChars="200"/>
        <w:jc w:val="both"/>
        <w:outlineLvl w:val="1"/>
        <w:rPr>
          <w:rFonts w:hint="eastAsia"/>
          <w:highlight w:val="none"/>
          <w:lang w:eastAsia="zh-CN"/>
        </w:rPr>
      </w:pPr>
      <w:bookmarkStart w:id="179" w:name="_Toc15118"/>
      <w:bookmarkStart w:id="180" w:name="_Toc4200"/>
      <w:bookmarkStart w:id="181" w:name="_Toc28471"/>
      <w:bookmarkStart w:id="182" w:name="_Toc14458"/>
      <w:bookmarkStart w:id="183" w:name="_Toc14381"/>
      <w:bookmarkStart w:id="184" w:name="_Toc28932"/>
      <w:bookmarkStart w:id="185" w:name="_Toc18568"/>
      <w:bookmarkStart w:id="186" w:name="_Toc20714"/>
      <w:r>
        <w:rPr>
          <w:rFonts w:hint="eastAsia"/>
          <w:highlight w:val="none"/>
          <w:lang w:eastAsia="zh-CN"/>
        </w:rPr>
        <w:t>（</w:t>
      </w:r>
      <w:r>
        <w:rPr>
          <w:rFonts w:hint="eastAsia"/>
          <w:highlight w:val="none"/>
          <w:lang w:val="en-US" w:eastAsia="zh-CN"/>
        </w:rPr>
        <w:t>五</w:t>
      </w:r>
      <w:r>
        <w:rPr>
          <w:rFonts w:hint="eastAsia"/>
          <w:highlight w:val="none"/>
          <w:lang w:eastAsia="zh-CN"/>
        </w:rPr>
        <w:t>）其他</w:t>
      </w:r>
      <w:r>
        <w:rPr>
          <w:rFonts w:hint="eastAsia"/>
          <w:highlight w:val="none"/>
          <w:lang w:val="en-US" w:eastAsia="zh-CN"/>
        </w:rPr>
        <w:t>处理建议</w:t>
      </w:r>
      <w:bookmarkEnd w:id="179"/>
      <w:bookmarkEnd w:id="180"/>
      <w:bookmarkEnd w:id="181"/>
      <w:bookmarkEnd w:id="182"/>
      <w:bookmarkEnd w:id="183"/>
      <w:bookmarkEnd w:id="184"/>
      <w:bookmarkEnd w:id="185"/>
      <w:bookmarkEnd w:id="186"/>
    </w:p>
    <w:p w14:paraId="5CBC155F">
      <w:pPr>
        <w:keepNext w:val="0"/>
        <w:keepLines w:val="0"/>
        <w:widowControl/>
        <w:suppressLineNumbers w:val="0"/>
        <w:jc w:val="left"/>
        <w:rPr>
          <w:rFonts w:hint="default" w:ascii="Times New Roman" w:hAnsi="Times New Roman" w:cs="Times New Roman"/>
          <w:color w:val="000000"/>
          <w:kern w:val="0"/>
          <w:sz w:val="31"/>
          <w:szCs w:val="31"/>
          <w:highlight w:val="none"/>
          <w:lang w:val="en-US" w:eastAsia="zh-CN" w:bidi="ar"/>
        </w:rPr>
      </w:pPr>
      <w:bookmarkStart w:id="187" w:name="_Hlk103851010"/>
      <w:r>
        <w:rPr>
          <w:rFonts w:ascii="仿宋_GB2312" w:hAnsi="宋体" w:eastAsia="仿宋_GB2312" w:cs="仿宋_GB2312"/>
          <w:color w:val="000000"/>
          <w:kern w:val="0"/>
          <w:sz w:val="31"/>
          <w:szCs w:val="31"/>
          <w:highlight w:val="none"/>
          <w:lang w:val="en-US" w:eastAsia="zh-CN" w:bidi="ar"/>
        </w:rPr>
        <w:t>在事故调查过程中发现</w:t>
      </w:r>
      <w:r>
        <w:rPr>
          <w:rFonts w:hint="eastAsia" w:ascii="仿宋_GB2312" w:hAnsi="宋体" w:cs="仿宋_GB2312"/>
          <w:color w:val="000000"/>
          <w:kern w:val="0"/>
          <w:sz w:val="31"/>
          <w:szCs w:val="31"/>
          <w:highlight w:val="none"/>
          <w:lang w:val="en-US" w:eastAsia="zh-CN" w:bidi="ar"/>
        </w:rPr>
        <w:t>同绩</w:t>
      </w:r>
      <w:r>
        <w:rPr>
          <w:rFonts w:hint="eastAsia"/>
          <w:highlight w:val="none"/>
          <w:lang w:val="en-US" w:eastAsia="zh-CN"/>
        </w:rPr>
        <w:t>工程</w:t>
      </w:r>
      <w:r>
        <w:rPr>
          <w:rFonts w:hint="eastAsia" w:ascii="仿宋_GB2312" w:hAnsi="宋体" w:cs="仿宋_GB2312"/>
          <w:color w:val="000000"/>
          <w:kern w:val="0"/>
          <w:sz w:val="31"/>
          <w:szCs w:val="31"/>
          <w:highlight w:val="none"/>
          <w:lang w:val="en-US" w:eastAsia="zh-CN" w:bidi="ar"/>
        </w:rPr>
        <w:t>在日常工作中存在违规行为，</w:t>
      </w:r>
      <w:r>
        <w:rPr>
          <w:rFonts w:hint="default" w:ascii="Times New Roman" w:hAnsi="Times New Roman" w:cs="Times New Roman"/>
          <w:color w:val="000000"/>
          <w:kern w:val="0"/>
          <w:sz w:val="31"/>
          <w:szCs w:val="31"/>
          <w:highlight w:val="none"/>
          <w:lang w:val="en-US" w:eastAsia="zh-CN" w:bidi="ar"/>
        </w:rPr>
        <w:t>建议</w:t>
      </w:r>
      <w:r>
        <w:rPr>
          <w:rFonts w:hint="default" w:ascii="Times New Roman" w:hAnsi="Times New Roman" w:eastAsia="仿宋_GB2312" w:cs="Times New Roman"/>
          <w:color w:val="000000"/>
          <w:kern w:val="0"/>
          <w:sz w:val="31"/>
          <w:szCs w:val="31"/>
          <w:highlight w:val="none"/>
          <w:lang w:val="en-US" w:eastAsia="zh-CN" w:bidi="ar"/>
        </w:rPr>
        <w:t>由</w:t>
      </w:r>
      <w:r>
        <w:rPr>
          <w:rFonts w:hint="default" w:ascii="Times New Roman" w:hAnsi="Times New Roman" w:cs="Times New Roman"/>
          <w:color w:val="000000"/>
          <w:kern w:val="0"/>
          <w:sz w:val="31"/>
          <w:szCs w:val="31"/>
          <w:highlight w:val="none"/>
          <w:lang w:val="en-US" w:eastAsia="zh-CN" w:bidi="ar"/>
        </w:rPr>
        <w:t>区住建局</w:t>
      </w:r>
      <w:r>
        <w:rPr>
          <w:rFonts w:hint="default" w:ascii="Times New Roman" w:hAnsi="Times New Roman" w:eastAsia="仿宋_GB2312" w:cs="Times New Roman"/>
          <w:color w:val="000000"/>
          <w:kern w:val="0"/>
          <w:sz w:val="31"/>
          <w:szCs w:val="31"/>
          <w:highlight w:val="none"/>
          <w:lang w:val="en-US" w:eastAsia="zh-CN" w:bidi="ar"/>
        </w:rPr>
        <w:t>依法依规处理</w:t>
      </w:r>
      <w:r>
        <w:rPr>
          <w:rFonts w:hint="default" w:ascii="Times New Roman" w:hAnsi="Times New Roman" w:cs="Times New Roman"/>
          <w:color w:val="000000"/>
          <w:kern w:val="0"/>
          <w:sz w:val="31"/>
          <w:szCs w:val="31"/>
          <w:highlight w:val="none"/>
          <w:lang w:val="en-US" w:eastAsia="zh-CN" w:bidi="ar"/>
        </w:rPr>
        <w:t>，处理建议如下：</w:t>
      </w:r>
    </w:p>
    <w:p w14:paraId="30B2F291">
      <w:pPr>
        <w:keepNext w:val="0"/>
        <w:keepLines w:val="0"/>
        <w:pageBreakBefore w:val="0"/>
        <w:widowControl w:val="0"/>
        <w:numPr>
          <w:ilvl w:val="0"/>
          <w:numId w:val="0"/>
        </w:numPr>
        <w:suppressLineNumbers w:val="0"/>
        <w:kinsoku/>
        <w:wordWrap/>
        <w:overflowPunct/>
        <w:topLinePunct w:val="0"/>
        <w:autoSpaceDE/>
        <w:autoSpaceDN/>
        <w:bidi w:val="0"/>
        <w:adjustRightInd/>
        <w:snapToGrid/>
        <w:ind w:firstLine="620" w:firstLineChars="200"/>
        <w:jc w:val="left"/>
        <w:textAlignment w:val="auto"/>
        <w:rPr>
          <w:rFonts w:hint="default" w:ascii="Times New Roman" w:hAnsi="Times New Roman" w:eastAsia="仿宋_GB2312" w:cs="Times New Roman"/>
          <w:color w:val="000000"/>
          <w:kern w:val="0"/>
          <w:sz w:val="31"/>
          <w:szCs w:val="31"/>
          <w:highlight w:val="none"/>
          <w:lang w:val="en-US" w:eastAsia="zh-CN" w:bidi="ar"/>
        </w:rPr>
      </w:pPr>
      <w:r>
        <w:rPr>
          <w:rFonts w:hint="default" w:ascii="Times New Roman" w:hAnsi="Times New Roman" w:eastAsia="仿宋_GB2312" w:cs="Times New Roman"/>
          <w:color w:val="000000"/>
          <w:kern w:val="0"/>
          <w:sz w:val="31"/>
          <w:szCs w:val="31"/>
          <w:highlight w:val="none"/>
          <w:lang w:val="en-US" w:eastAsia="zh-CN" w:bidi="ar"/>
        </w:rPr>
        <w:t>（1）山东同绩</w:t>
      </w:r>
      <w:r>
        <w:rPr>
          <w:rFonts w:hint="eastAsia" w:cs="Times New Roman"/>
          <w:color w:val="000000"/>
          <w:kern w:val="0"/>
          <w:sz w:val="31"/>
          <w:szCs w:val="31"/>
          <w:highlight w:val="none"/>
          <w:lang w:val="en-US" w:eastAsia="zh-CN" w:bidi="ar"/>
        </w:rPr>
        <w:t>工程</w:t>
      </w:r>
      <w:r>
        <w:rPr>
          <w:rFonts w:hint="default" w:ascii="Times New Roman" w:hAnsi="Times New Roman" w:eastAsia="仿宋_GB2312" w:cs="Times New Roman"/>
          <w:color w:val="000000"/>
          <w:kern w:val="0"/>
          <w:sz w:val="31"/>
          <w:szCs w:val="31"/>
          <w:highlight w:val="none"/>
          <w:lang w:val="en-US" w:eastAsia="zh-CN" w:bidi="ar"/>
        </w:rPr>
        <w:t>项目管理有限公司作为该项目监理单位，监理人员未严格执行监理合同，监理职责履行</w:t>
      </w:r>
      <w:r>
        <w:rPr>
          <w:rFonts w:hint="default" w:ascii="Times New Roman" w:hAnsi="Times New Roman" w:eastAsia="仿宋_GB2312" w:cs="Times New Roman"/>
          <w:color w:val="000000"/>
          <w:kern w:val="0"/>
          <w:sz w:val="32"/>
          <w:szCs w:val="32"/>
          <w:highlight w:val="none"/>
          <w:lang w:val="en-US" w:eastAsia="zh-CN" w:bidi="ar"/>
        </w:rPr>
        <w:t>不到位，未认真开展安全巡视检查，安全隐患排查治理不到位。</w:t>
      </w:r>
      <w:r>
        <w:rPr>
          <w:rFonts w:hint="default" w:ascii="Times New Roman" w:hAnsi="Times New Roman" w:eastAsia="仿宋_GB2312" w:cs="Times New Roman"/>
          <w:color w:val="000000"/>
          <w:kern w:val="0"/>
          <w:sz w:val="31"/>
          <w:szCs w:val="31"/>
          <w:highlight w:val="none"/>
          <w:lang w:val="en-US" w:eastAsia="zh-CN" w:bidi="ar"/>
        </w:rPr>
        <w:t>建议由莱山区住建局诚信扣分处理，</w:t>
      </w:r>
      <w:r>
        <w:rPr>
          <w:rFonts w:hint="default" w:ascii="Times New Roman" w:hAnsi="Times New Roman" w:eastAsia="仿宋_GB2312" w:cs="Times New Roman"/>
          <w:highlight w:val="none"/>
          <w:lang w:val="en-US" w:eastAsia="zh-CN"/>
        </w:rPr>
        <w:t>处理结果上报莱山区安委会办公室</w:t>
      </w:r>
      <w:r>
        <w:rPr>
          <w:rFonts w:hint="default" w:ascii="Times New Roman" w:hAnsi="Times New Roman" w:eastAsia="仿宋_GB2312" w:cs="Times New Roman"/>
          <w:color w:val="000000"/>
          <w:kern w:val="0"/>
          <w:sz w:val="31"/>
          <w:szCs w:val="31"/>
          <w:highlight w:val="none"/>
          <w:lang w:val="en-US" w:eastAsia="zh-CN" w:bidi="ar"/>
        </w:rPr>
        <w:t>。</w:t>
      </w:r>
    </w:p>
    <w:p w14:paraId="0F146B5C">
      <w:pPr>
        <w:keepNext w:val="0"/>
        <w:keepLines w:val="0"/>
        <w:widowControl/>
        <w:numPr>
          <w:ilvl w:val="0"/>
          <w:numId w:val="0"/>
        </w:numPr>
        <w:suppressLineNumbers w:val="0"/>
        <w:ind w:firstLine="620" w:firstLineChars="200"/>
        <w:jc w:val="left"/>
        <w:rPr>
          <w:rFonts w:hint="default" w:ascii="Times New Roman" w:hAnsi="Times New Roman" w:eastAsia="仿宋_GB2312" w:cs="Times New Roman"/>
          <w:color w:val="000000"/>
          <w:kern w:val="0"/>
          <w:sz w:val="31"/>
          <w:szCs w:val="31"/>
          <w:highlight w:val="none"/>
          <w:lang w:val="en-US" w:eastAsia="zh-CN" w:bidi="ar"/>
        </w:rPr>
      </w:pPr>
      <w:r>
        <w:rPr>
          <w:rFonts w:hint="default" w:ascii="Times New Roman" w:hAnsi="Times New Roman" w:eastAsia="仿宋_GB2312" w:cs="Times New Roman"/>
          <w:color w:val="000000"/>
          <w:kern w:val="0"/>
          <w:sz w:val="31"/>
          <w:szCs w:val="31"/>
          <w:highlight w:val="none"/>
          <w:lang w:val="en-US" w:eastAsia="zh-CN" w:bidi="ar"/>
        </w:rPr>
        <w:t>（2）梁</w:t>
      </w:r>
      <w:r>
        <w:rPr>
          <w:rFonts w:hint="eastAsia" w:ascii="仿宋_GB2312" w:hAnsi="仿宋_GB2312" w:eastAsia="仿宋_GB2312" w:cs="仿宋_GB2312"/>
          <w:highlight w:val="none"/>
          <w:lang w:val="en-US" w:eastAsia="zh-CN"/>
        </w:rPr>
        <w:t>**</w:t>
      </w:r>
      <w:r>
        <w:rPr>
          <w:rFonts w:hint="default" w:ascii="Times New Roman" w:hAnsi="Times New Roman" w:eastAsia="仿宋_GB2312" w:cs="Times New Roman"/>
          <w:color w:val="000000"/>
          <w:kern w:val="0"/>
          <w:sz w:val="31"/>
          <w:szCs w:val="31"/>
          <w:highlight w:val="none"/>
          <w:lang w:val="en-US" w:eastAsia="zh-CN" w:bidi="ar"/>
        </w:rPr>
        <w:t>，男，群众，同绩</w:t>
      </w:r>
      <w:r>
        <w:rPr>
          <w:rFonts w:hint="eastAsia"/>
          <w:highlight w:val="none"/>
          <w:lang w:val="en-US" w:eastAsia="zh-CN"/>
        </w:rPr>
        <w:t>工程</w:t>
      </w:r>
      <w:r>
        <w:rPr>
          <w:rFonts w:hint="default" w:ascii="Times New Roman" w:hAnsi="Times New Roman" w:eastAsia="仿宋_GB2312" w:cs="Times New Roman"/>
          <w:color w:val="000000"/>
          <w:kern w:val="0"/>
          <w:sz w:val="31"/>
          <w:szCs w:val="31"/>
          <w:highlight w:val="none"/>
          <w:lang w:val="en-US" w:eastAsia="zh-CN" w:bidi="ar"/>
        </w:rPr>
        <w:t>项目总监，负责工程建设监理合同履行的全面工作。对监理员未规范履职失察，</w:t>
      </w:r>
      <w:r>
        <w:rPr>
          <w:rFonts w:hint="default" w:ascii="Times New Roman" w:hAnsi="Times New Roman" w:eastAsia="仿宋_GB2312" w:cs="Times New Roman"/>
          <w:color w:val="000000"/>
          <w:kern w:val="0"/>
          <w:sz w:val="32"/>
          <w:szCs w:val="32"/>
          <w:highlight w:val="none"/>
          <w:lang w:val="en-US" w:eastAsia="zh-CN" w:bidi="ar"/>
        </w:rPr>
        <w:t>未认真开展安全巡视检查，安全隐患排查治理不到位</w:t>
      </w:r>
      <w:r>
        <w:rPr>
          <w:rFonts w:hint="default" w:ascii="Times New Roman" w:hAnsi="Times New Roman" w:eastAsia="仿宋_GB2312" w:cs="Times New Roman"/>
          <w:color w:val="000000"/>
          <w:kern w:val="0"/>
          <w:sz w:val="31"/>
          <w:szCs w:val="31"/>
          <w:highlight w:val="none"/>
          <w:lang w:val="en-US" w:eastAsia="zh-CN" w:bidi="ar"/>
        </w:rPr>
        <w:t>，违反《建筑工程安全生产管理条例》第十四条第</w:t>
      </w:r>
      <w:r>
        <w:rPr>
          <w:rFonts w:hint="eastAsia" w:cs="Times New Roman"/>
          <w:color w:val="000000"/>
          <w:kern w:val="0"/>
          <w:sz w:val="31"/>
          <w:szCs w:val="31"/>
          <w:highlight w:val="none"/>
          <w:lang w:val="en-US" w:eastAsia="zh-CN" w:bidi="ar"/>
        </w:rPr>
        <w:t>三</w:t>
      </w:r>
      <w:r>
        <w:rPr>
          <w:rFonts w:hint="default" w:ascii="Times New Roman" w:hAnsi="Times New Roman" w:eastAsia="仿宋_GB2312" w:cs="Times New Roman"/>
          <w:color w:val="000000"/>
          <w:kern w:val="0"/>
          <w:sz w:val="31"/>
          <w:szCs w:val="31"/>
          <w:highlight w:val="none"/>
          <w:lang w:val="en-US" w:eastAsia="zh-CN" w:bidi="ar"/>
        </w:rPr>
        <w:t>款，建议由莱山区住建局依法依规处理，</w:t>
      </w:r>
      <w:r>
        <w:rPr>
          <w:rFonts w:hint="default" w:ascii="Times New Roman" w:hAnsi="Times New Roman" w:eastAsia="仿宋_GB2312" w:cs="Times New Roman"/>
          <w:highlight w:val="none"/>
          <w:lang w:val="en-US" w:eastAsia="zh-CN"/>
        </w:rPr>
        <w:t>处理结果上报莱山区安委会办公室</w:t>
      </w:r>
      <w:r>
        <w:rPr>
          <w:rFonts w:hint="default" w:ascii="Times New Roman" w:hAnsi="Times New Roman" w:eastAsia="仿宋_GB2312" w:cs="Times New Roman"/>
          <w:color w:val="000000"/>
          <w:kern w:val="0"/>
          <w:sz w:val="31"/>
          <w:szCs w:val="31"/>
          <w:highlight w:val="none"/>
          <w:lang w:val="en-US" w:eastAsia="zh-CN" w:bidi="ar"/>
        </w:rPr>
        <w:t>。</w:t>
      </w:r>
    </w:p>
    <w:p w14:paraId="099F29FC">
      <w:pPr>
        <w:keepNext w:val="0"/>
        <w:keepLines w:val="0"/>
        <w:widowControl/>
        <w:numPr>
          <w:ilvl w:val="0"/>
          <w:numId w:val="0"/>
        </w:numPr>
        <w:suppressLineNumbers w:val="0"/>
        <w:ind w:firstLine="620" w:firstLineChars="200"/>
        <w:jc w:val="left"/>
        <w:rPr>
          <w:rFonts w:hint="default" w:ascii="Times New Roman" w:hAnsi="Times New Roman" w:eastAsia="仿宋_GB2312" w:cs="Times New Roman"/>
          <w:color w:val="000000"/>
          <w:kern w:val="0"/>
          <w:sz w:val="31"/>
          <w:szCs w:val="31"/>
          <w:highlight w:val="none"/>
          <w:lang w:val="en-US" w:eastAsia="zh-CN" w:bidi="ar"/>
        </w:rPr>
      </w:pPr>
      <w:r>
        <w:rPr>
          <w:rFonts w:hint="default" w:ascii="Times New Roman" w:hAnsi="Times New Roman" w:eastAsia="仿宋_GB2312" w:cs="Times New Roman"/>
          <w:color w:val="000000"/>
          <w:kern w:val="0"/>
          <w:sz w:val="31"/>
          <w:szCs w:val="31"/>
          <w:highlight w:val="none"/>
          <w:lang w:val="en-US" w:eastAsia="zh-CN" w:bidi="ar"/>
        </w:rPr>
        <w:t>（3）任</w:t>
      </w:r>
      <w:r>
        <w:rPr>
          <w:rFonts w:hint="eastAsia" w:ascii="仿宋_GB2312" w:hAnsi="仿宋_GB2312" w:eastAsia="仿宋_GB2312" w:cs="仿宋_GB2312"/>
          <w:highlight w:val="none"/>
          <w:lang w:val="en-US" w:eastAsia="zh-CN"/>
        </w:rPr>
        <w:t>**</w:t>
      </w:r>
      <w:r>
        <w:rPr>
          <w:rFonts w:hint="default" w:ascii="Times New Roman" w:hAnsi="Times New Roman" w:eastAsia="仿宋_GB2312" w:cs="Times New Roman"/>
          <w:color w:val="000000"/>
          <w:kern w:val="0"/>
          <w:sz w:val="31"/>
          <w:szCs w:val="31"/>
          <w:highlight w:val="none"/>
          <w:lang w:val="en-US" w:eastAsia="zh-CN" w:bidi="ar"/>
        </w:rPr>
        <w:t>，男，中共党员，同绩</w:t>
      </w:r>
      <w:r>
        <w:rPr>
          <w:rFonts w:hint="eastAsia"/>
          <w:highlight w:val="none"/>
          <w:lang w:val="en-US" w:eastAsia="zh-CN"/>
        </w:rPr>
        <w:t>工程</w:t>
      </w:r>
      <w:r>
        <w:rPr>
          <w:rFonts w:hint="default" w:ascii="Times New Roman" w:hAnsi="Times New Roman" w:eastAsia="仿宋_GB2312" w:cs="Times New Roman"/>
          <w:color w:val="000000"/>
          <w:kern w:val="0"/>
          <w:sz w:val="31"/>
          <w:szCs w:val="31"/>
          <w:highlight w:val="none"/>
          <w:lang w:val="en-US" w:eastAsia="zh-CN" w:bidi="ar"/>
        </w:rPr>
        <w:t>总经理，负责同绩</w:t>
      </w:r>
      <w:r>
        <w:rPr>
          <w:rFonts w:hint="eastAsia" w:cs="Times New Roman"/>
          <w:color w:val="000000"/>
          <w:kern w:val="0"/>
          <w:sz w:val="31"/>
          <w:szCs w:val="31"/>
          <w:highlight w:val="none"/>
          <w:lang w:val="en-US" w:eastAsia="zh-CN" w:bidi="ar"/>
        </w:rPr>
        <w:t>工程</w:t>
      </w:r>
      <w:r>
        <w:rPr>
          <w:rFonts w:hint="default" w:ascii="Times New Roman" w:hAnsi="Times New Roman" w:eastAsia="仿宋_GB2312" w:cs="Times New Roman"/>
          <w:color w:val="000000"/>
          <w:kern w:val="0"/>
          <w:sz w:val="31"/>
          <w:szCs w:val="31"/>
          <w:highlight w:val="none"/>
          <w:lang w:val="en-US" w:eastAsia="zh-CN" w:bidi="ar"/>
        </w:rPr>
        <w:t>安全生产全面工作，对项目部未规范履职失察，违反《建筑工程安全生产管理条例》第十四条第</w:t>
      </w:r>
      <w:r>
        <w:rPr>
          <w:rFonts w:hint="eastAsia" w:cs="Times New Roman"/>
          <w:color w:val="000000"/>
          <w:kern w:val="0"/>
          <w:sz w:val="31"/>
          <w:szCs w:val="31"/>
          <w:highlight w:val="none"/>
          <w:lang w:val="en-US" w:eastAsia="zh-CN" w:bidi="ar"/>
        </w:rPr>
        <w:t>三</w:t>
      </w:r>
      <w:r>
        <w:rPr>
          <w:rFonts w:hint="default" w:ascii="Times New Roman" w:hAnsi="Times New Roman" w:eastAsia="仿宋_GB2312" w:cs="Times New Roman"/>
          <w:color w:val="000000"/>
          <w:kern w:val="0"/>
          <w:sz w:val="31"/>
          <w:szCs w:val="31"/>
          <w:highlight w:val="none"/>
          <w:lang w:val="en-US" w:eastAsia="zh-CN" w:bidi="ar"/>
        </w:rPr>
        <w:t>款，建议由莱山区住建局依法依规处理，</w:t>
      </w:r>
      <w:r>
        <w:rPr>
          <w:rFonts w:hint="default" w:ascii="Times New Roman" w:hAnsi="Times New Roman" w:eastAsia="仿宋_GB2312" w:cs="Times New Roman"/>
          <w:highlight w:val="none"/>
          <w:lang w:val="en-US" w:eastAsia="zh-CN"/>
        </w:rPr>
        <w:t>处理结果上报莱山区安委会办公室</w:t>
      </w:r>
      <w:r>
        <w:rPr>
          <w:rFonts w:hint="default" w:ascii="Times New Roman" w:hAnsi="Times New Roman" w:eastAsia="仿宋_GB2312" w:cs="Times New Roman"/>
          <w:color w:val="000000"/>
          <w:kern w:val="0"/>
          <w:sz w:val="31"/>
          <w:szCs w:val="31"/>
          <w:highlight w:val="none"/>
          <w:lang w:val="en-US" w:eastAsia="zh-CN" w:bidi="ar"/>
        </w:rPr>
        <w:t>。</w:t>
      </w:r>
    </w:p>
    <w:p w14:paraId="17C77D7E">
      <w:pPr>
        <w:keepNext w:val="0"/>
        <w:keepLines w:val="0"/>
        <w:pageBreakBefore w:val="0"/>
        <w:kinsoku/>
        <w:wordWrap/>
        <w:overflowPunct/>
        <w:topLinePunct w:val="0"/>
        <w:autoSpaceDN/>
        <w:bidi w:val="0"/>
        <w:spacing w:after="0" w:line="560" w:lineRule="exact"/>
        <w:ind w:left="0" w:leftChars="0" w:firstLine="640" w:firstLineChars="200"/>
        <w:jc w:val="both"/>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highlight w:val="none"/>
          <w:lang w:val="en-US" w:eastAsia="zh-CN"/>
        </w:rPr>
        <w:t>（4）建议森霆置业向区住建局做出深刻检查。</w:t>
      </w:r>
    </w:p>
    <w:p w14:paraId="07199F5B">
      <w:pPr>
        <w:keepNext w:val="0"/>
        <w:keepLines w:val="0"/>
        <w:pageBreakBefore w:val="0"/>
        <w:kinsoku/>
        <w:wordWrap/>
        <w:overflowPunct/>
        <w:topLinePunct w:val="0"/>
        <w:autoSpaceDN/>
        <w:bidi w:val="0"/>
        <w:spacing w:after="0" w:line="560" w:lineRule="exact"/>
        <w:ind w:left="0" w:leftChars="0" w:firstLine="640" w:firstLineChars="200"/>
        <w:jc w:val="both"/>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highlight w:val="none"/>
          <w:lang w:val="en-US" w:eastAsia="zh-CN"/>
        </w:rPr>
        <w:t>（5）建议区住建局、莱山经开区管委向莱山区委、区政府做出深刻检查</w:t>
      </w:r>
      <w:r>
        <w:rPr>
          <w:rFonts w:hint="eastAsia" w:cs="Times New Roman"/>
          <w:highlight w:val="none"/>
          <w:lang w:val="en-US" w:eastAsia="zh-CN"/>
        </w:rPr>
        <w:t>，</w:t>
      </w:r>
      <w:r>
        <w:rPr>
          <w:rFonts w:hint="default" w:ascii="Times New Roman" w:hAnsi="Times New Roman" w:eastAsia="仿宋_GB2312" w:cs="Times New Roman"/>
          <w:highlight w:val="none"/>
          <w:lang w:val="en-US" w:eastAsia="zh-CN"/>
        </w:rPr>
        <w:t>结果</w:t>
      </w:r>
      <w:r>
        <w:rPr>
          <w:rFonts w:hint="eastAsia" w:cs="Times New Roman"/>
          <w:highlight w:val="none"/>
          <w:lang w:val="en-US" w:eastAsia="zh-CN"/>
        </w:rPr>
        <w:t>抄送纪委监委、</w:t>
      </w:r>
      <w:r>
        <w:rPr>
          <w:rFonts w:hint="default" w:ascii="Times New Roman" w:hAnsi="Times New Roman" w:eastAsia="仿宋_GB2312" w:cs="Times New Roman"/>
          <w:highlight w:val="none"/>
          <w:lang w:val="en-US" w:eastAsia="zh-CN"/>
        </w:rPr>
        <w:t>莱山区安委会办公室。</w:t>
      </w:r>
    </w:p>
    <w:p w14:paraId="053A2D3F">
      <w:pPr>
        <w:bidi w:val="0"/>
        <w:rPr>
          <w:rFonts w:hint="default" w:ascii="Times New Roman" w:hAnsi="Times New Roman" w:cs="Times New Roman"/>
          <w:highlight w:val="none"/>
          <w:lang w:val="en-US" w:eastAsia="zh-CN"/>
        </w:rPr>
      </w:pPr>
      <w:r>
        <w:rPr>
          <w:rFonts w:hint="default" w:ascii="Times New Roman" w:hAnsi="Times New Roman" w:eastAsia="仿宋_GB2312" w:cs="Times New Roman"/>
          <w:highlight w:val="none"/>
          <w:lang w:val="en-US" w:eastAsia="zh-CN"/>
        </w:rPr>
        <w:t>（6）双子建设森霆春晓项目安全员初</w:t>
      </w:r>
      <w:r>
        <w:rPr>
          <w:rFonts w:hint="eastAsia" w:ascii="仿宋_GB2312" w:hAnsi="仿宋_GB2312" w:eastAsia="仿宋_GB2312" w:cs="仿宋_GB2312"/>
          <w:highlight w:val="none"/>
          <w:lang w:val="en-US" w:eastAsia="zh-CN"/>
        </w:rPr>
        <w:t>**</w:t>
      </w:r>
      <w:r>
        <w:rPr>
          <w:rFonts w:hint="default" w:ascii="Times New Roman" w:hAnsi="Times New Roman" w:eastAsia="仿宋_GB2312" w:cs="Times New Roman"/>
          <w:highlight w:val="none"/>
          <w:lang w:val="en-US" w:eastAsia="zh-CN"/>
        </w:rPr>
        <w:t>、同绩</w:t>
      </w:r>
      <w:r>
        <w:rPr>
          <w:rFonts w:hint="eastAsia"/>
          <w:highlight w:val="none"/>
          <w:lang w:val="en-US" w:eastAsia="zh-CN"/>
        </w:rPr>
        <w:t>工程</w:t>
      </w:r>
      <w:r>
        <w:rPr>
          <w:rFonts w:hint="default" w:ascii="Times New Roman" w:hAnsi="Times New Roman" w:eastAsia="仿宋_GB2312" w:cs="Times New Roman"/>
          <w:highlight w:val="none"/>
          <w:lang w:val="en-US" w:eastAsia="zh-CN"/>
        </w:rPr>
        <w:t>监理员张</w:t>
      </w:r>
      <w:r>
        <w:rPr>
          <w:rFonts w:hint="eastAsia" w:ascii="仿宋_GB2312" w:hAnsi="仿宋_GB2312" w:eastAsia="仿宋_GB2312" w:cs="仿宋_GB2312"/>
          <w:highlight w:val="none"/>
          <w:lang w:val="en-US" w:eastAsia="zh-CN"/>
        </w:rPr>
        <w:t>**</w:t>
      </w:r>
      <w:r>
        <w:rPr>
          <w:rFonts w:hint="default" w:ascii="Times New Roman" w:hAnsi="Times New Roman" w:eastAsia="仿宋_GB2312" w:cs="Times New Roman"/>
          <w:highlight w:val="none"/>
          <w:lang w:val="en-US" w:eastAsia="zh-CN"/>
        </w:rPr>
        <w:t>、泰鸿置业安全员刘</w:t>
      </w:r>
      <w:r>
        <w:rPr>
          <w:rFonts w:hint="eastAsia" w:ascii="仿宋_GB2312" w:hAnsi="仿宋_GB2312" w:eastAsia="仿宋_GB2312" w:cs="仿宋_GB2312"/>
          <w:highlight w:val="none"/>
          <w:lang w:val="en-US" w:eastAsia="zh-CN"/>
        </w:rPr>
        <w:t>**</w:t>
      </w:r>
      <w:r>
        <w:rPr>
          <w:rFonts w:hint="default" w:ascii="Times New Roman" w:hAnsi="Times New Roman" w:eastAsia="仿宋_GB2312" w:cs="Times New Roman"/>
          <w:highlight w:val="none"/>
          <w:lang w:val="en-US" w:eastAsia="zh-CN"/>
        </w:rPr>
        <w:t>、泰鸿置业总经理季</w:t>
      </w:r>
      <w:r>
        <w:rPr>
          <w:rFonts w:hint="eastAsia" w:ascii="仿宋_GB2312" w:hAnsi="仿宋_GB2312" w:eastAsia="仿宋_GB2312" w:cs="仿宋_GB2312"/>
          <w:highlight w:val="none"/>
          <w:lang w:val="en-US" w:eastAsia="zh-CN"/>
        </w:rPr>
        <w:t>*</w:t>
      </w:r>
      <w:r>
        <w:rPr>
          <w:rFonts w:hint="default" w:ascii="Times New Roman" w:hAnsi="Times New Roman" w:eastAsia="仿宋_GB2312" w:cs="Times New Roman"/>
          <w:highlight w:val="none"/>
          <w:lang w:val="en-US" w:eastAsia="zh-CN"/>
        </w:rPr>
        <w:t>、森霆置业项目经理李</w:t>
      </w:r>
      <w:r>
        <w:rPr>
          <w:rFonts w:hint="eastAsia" w:ascii="仿宋_GB2312" w:hAnsi="仿宋_GB2312" w:eastAsia="仿宋_GB2312" w:cs="仿宋_GB2312"/>
          <w:highlight w:val="none"/>
          <w:lang w:val="en-US" w:eastAsia="zh-CN"/>
        </w:rPr>
        <w:t>*</w:t>
      </w:r>
      <w:r>
        <w:rPr>
          <w:rFonts w:hint="default" w:ascii="Times New Roman" w:hAnsi="Times New Roman" w:cs="Times New Roman"/>
          <w:highlight w:val="none"/>
          <w:lang w:val="en-US" w:eastAsia="zh-CN"/>
        </w:rPr>
        <w:t>、森霆置业总经理张</w:t>
      </w:r>
      <w:r>
        <w:rPr>
          <w:rFonts w:hint="eastAsia" w:ascii="仿宋_GB2312" w:hAnsi="仿宋_GB2312" w:eastAsia="仿宋_GB2312" w:cs="仿宋_GB2312"/>
          <w:highlight w:val="none"/>
          <w:lang w:val="en-US" w:eastAsia="zh-CN"/>
        </w:rPr>
        <w:t>**</w:t>
      </w:r>
      <w:r>
        <w:rPr>
          <w:rFonts w:hint="default" w:ascii="Times New Roman" w:hAnsi="Times New Roman" w:cs="Times New Roman"/>
          <w:highlight w:val="none"/>
          <w:lang w:val="en-US" w:eastAsia="zh-CN"/>
        </w:rPr>
        <w:t>，以上6人对事故发生负有责任，建议由各单位按照内部规章制度处理，处理结果上报莱山区安委会办公室、区住建局。</w:t>
      </w:r>
    </w:p>
    <w:bookmarkEnd w:id="187"/>
    <w:p w14:paraId="1E27EA23">
      <w:pPr>
        <w:pStyle w:val="2"/>
        <w:bidi w:val="0"/>
        <w:ind w:firstLine="960" w:firstLineChars="300"/>
        <w:rPr>
          <w:rFonts w:hint="eastAsia" w:eastAsia="黑体"/>
          <w:highlight w:val="none"/>
          <w:lang w:val="en-US" w:eastAsia="zh-CN"/>
        </w:rPr>
      </w:pPr>
      <w:bookmarkStart w:id="188" w:name="_Toc18793"/>
      <w:bookmarkStart w:id="189" w:name="_Toc24654"/>
      <w:bookmarkStart w:id="190" w:name="_Toc9266"/>
      <w:bookmarkStart w:id="191" w:name="_Toc14029"/>
      <w:bookmarkStart w:id="192" w:name="_Toc22479"/>
      <w:bookmarkStart w:id="193" w:name="_Toc29548"/>
      <w:bookmarkStart w:id="194" w:name="_Toc4519"/>
      <w:bookmarkStart w:id="195" w:name="_Toc1619"/>
      <w:r>
        <w:rPr>
          <w:rFonts w:hint="eastAsia"/>
          <w:highlight w:val="none"/>
          <w:lang w:val="en-US" w:eastAsia="zh-CN"/>
        </w:rPr>
        <w:t>五、事故主要教训</w:t>
      </w:r>
      <w:bookmarkEnd w:id="188"/>
      <w:bookmarkEnd w:id="189"/>
      <w:bookmarkEnd w:id="190"/>
      <w:bookmarkEnd w:id="191"/>
      <w:bookmarkEnd w:id="192"/>
      <w:bookmarkEnd w:id="193"/>
      <w:bookmarkEnd w:id="194"/>
      <w:bookmarkEnd w:id="195"/>
    </w:p>
    <w:p w14:paraId="4162DD0F">
      <w:pPr>
        <w:keepNext w:val="0"/>
        <w:keepLines w:val="0"/>
        <w:pageBreakBefore w:val="0"/>
        <w:widowControl/>
        <w:kinsoku/>
        <w:wordWrap/>
        <w:overflowPunct/>
        <w:topLinePunct w:val="0"/>
        <w:autoSpaceDE/>
        <w:autoSpaceDN/>
        <w:bidi w:val="0"/>
        <w:adjustRightInd/>
        <w:snapToGrid/>
        <w:spacing w:beforeAutospacing="0" w:line="240" w:lineRule="auto"/>
        <w:ind w:firstLine="643" w:firstLineChars="200"/>
        <w:textAlignment w:val="auto"/>
        <w:rPr>
          <w:rFonts w:hint="default" w:ascii="Times New Roman" w:hAnsi="Times New Roman" w:eastAsia="仿宋_GB2312" w:cs="Times New Roman"/>
          <w:sz w:val="32"/>
          <w:szCs w:val="32"/>
          <w:highlight w:val="none"/>
          <w:lang w:val="en-US" w:eastAsia="zh-CN"/>
        </w:rPr>
      </w:pPr>
      <w:r>
        <w:rPr>
          <w:rFonts w:hint="eastAsia" w:ascii="楷体_GB2312" w:hAnsi="楷体_GB2312" w:eastAsia="楷体_GB2312" w:cs="楷体_GB2312"/>
          <w:b/>
          <w:bCs/>
          <w:highlight w:val="none"/>
          <w:lang w:val="en-US" w:eastAsia="zh-CN"/>
        </w:rPr>
        <w:t>（一）</w:t>
      </w:r>
      <w:r>
        <w:rPr>
          <w:rStyle w:val="27"/>
          <w:rFonts w:hint="eastAsia" w:ascii="楷体_GB2312" w:hAnsi="楷体_GB2312" w:eastAsia="楷体_GB2312" w:cs="楷体_GB2312"/>
          <w:b/>
          <w:bCs w:val="0"/>
          <w:highlight w:val="none"/>
          <w:lang w:val="en-US" w:eastAsia="zh-CN"/>
        </w:rPr>
        <w:t>贯</w:t>
      </w:r>
      <w:r>
        <w:rPr>
          <w:rStyle w:val="27"/>
          <w:rFonts w:hint="eastAsia"/>
          <w:b/>
          <w:bCs w:val="0"/>
          <w:highlight w:val="none"/>
          <w:lang w:val="en-US" w:eastAsia="zh-CN"/>
        </w:rPr>
        <w:t>彻安全发展理念不牢固。</w:t>
      </w:r>
      <w:r>
        <w:rPr>
          <w:rFonts w:hint="default" w:ascii="Times New Roman" w:hAnsi="Times New Roman" w:cs="Times New Roman"/>
          <w:sz w:val="32"/>
          <w:szCs w:val="32"/>
          <w:highlight w:val="none"/>
          <w:lang w:val="en-US" w:eastAsia="zh-CN"/>
        </w:rPr>
        <w:t>区住建局</w:t>
      </w:r>
      <w:r>
        <w:rPr>
          <w:rFonts w:hint="default" w:ascii="Times New Roman" w:hAnsi="Times New Roman" w:eastAsia="仿宋_GB2312" w:cs="Times New Roman"/>
          <w:sz w:val="32"/>
          <w:szCs w:val="32"/>
          <w:highlight w:val="none"/>
          <w:lang w:val="en-US" w:eastAsia="zh-CN"/>
        </w:rPr>
        <w:t>和</w:t>
      </w:r>
      <w:r>
        <w:rPr>
          <w:rFonts w:hint="eastAsia"/>
          <w:highlight w:val="none"/>
          <w:lang w:val="en-US" w:eastAsia="zh-CN"/>
        </w:rPr>
        <w:t>莱山经开区管委</w:t>
      </w:r>
      <w:r>
        <w:rPr>
          <w:rFonts w:hint="default" w:ascii="Times New Roman" w:hAnsi="Times New Roman" w:eastAsia="仿宋_GB2312" w:cs="Times New Roman"/>
          <w:sz w:val="32"/>
          <w:szCs w:val="32"/>
          <w:highlight w:val="none"/>
          <w:lang w:val="en-US" w:eastAsia="zh-CN"/>
        </w:rPr>
        <w:t>没有</w:t>
      </w:r>
      <w:r>
        <w:rPr>
          <w:rFonts w:hint="default" w:ascii="Times New Roman" w:hAnsi="Times New Roman" w:cs="Times New Roman"/>
          <w:sz w:val="32"/>
          <w:szCs w:val="32"/>
          <w:highlight w:val="none"/>
          <w:lang w:val="en-US" w:eastAsia="zh-CN"/>
        </w:rPr>
        <w:t>按照工程进展情况及时排查隐患风险，</w:t>
      </w:r>
      <w:r>
        <w:rPr>
          <w:rFonts w:hint="default" w:ascii="Times New Roman" w:hAnsi="Times New Roman" w:eastAsia="仿宋_GB2312" w:cs="Times New Roman"/>
          <w:sz w:val="32"/>
          <w:szCs w:val="32"/>
          <w:highlight w:val="none"/>
          <w:lang w:val="en-US" w:eastAsia="zh-CN"/>
        </w:rPr>
        <w:t>没有</w:t>
      </w:r>
      <w:r>
        <w:rPr>
          <w:rFonts w:hint="default" w:ascii="Times New Roman" w:hAnsi="Times New Roman" w:cs="Times New Roman"/>
          <w:sz w:val="32"/>
          <w:szCs w:val="32"/>
          <w:highlight w:val="none"/>
          <w:lang w:val="en-US" w:eastAsia="zh-CN"/>
        </w:rPr>
        <w:t>牢固</w:t>
      </w:r>
      <w:r>
        <w:rPr>
          <w:rFonts w:hint="eastAsia" w:cs="Times New Roman"/>
          <w:sz w:val="32"/>
          <w:szCs w:val="32"/>
          <w:highlight w:val="none"/>
          <w:lang w:val="en-US" w:eastAsia="zh-CN"/>
        </w:rPr>
        <w:t>树立</w:t>
      </w:r>
      <w:r>
        <w:rPr>
          <w:rFonts w:hint="default" w:ascii="Times New Roman" w:hAnsi="Times New Roman" w:eastAsia="仿宋_GB2312" w:cs="Times New Roman"/>
          <w:sz w:val="32"/>
          <w:szCs w:val="32"/>
          <w:highlight w:val="none"/>
          <w:lang w:val="en-US" w:eastAsia="zh-CN"/>
        </w:rPr>
        <w:t>底线思维和红线意识，安全隐患排查不</w:t>
      </w:r>
      <w:r>
        <w:rPr>
          <w:rFonts w:hint="default" w:ascii="Times New Roman" w:hAnsi="Times New Roman" w:cs="Times New Roman"/>
          <w:sz w:val="32"/>
          <w:szCs w:val="32"/>
          <w:highlight w:val="none"/>
          <w:lang w:val="en-US" w:eastAsia="zh-CN"/>
        </w:rPr>
        <w:t>到位</w:t>
      </w:r>
      <w:r>
        <w:rPr>
          <w:rFonts w:hint="default" w:ascii="Times New Roman" w:hAnsi="Times New Roman" w:eastAsia="仿宋_GB2312" w:cs="Times New Roman"/>
          <w:sz w:val="32"/>
          <w:szCs w:val="32"/>
          <w:highlight w:val="none"/>
          <w:lang w:val="en-US" w:eastAsia="zh-CN"/>
        </w:rPr>
        <w:t>，</w:t>
      </w:r>
      <w:r>
        <w:rPr>
          <w:rFonts w:hint="eastAsia" w:cs="Times New Roman"/>
          <w:sz w:val="32"/>
          <w:szCs w:val="32"/>
          <w:highlight w:val="none"/>
          <w:lang w:val="en-US" w:eastAsia="zh-CN"/>
        </w:rPr>
        <w:t>未</w:t>
      </w:r>
      <w:r>
        <w:rPr>
          <w:rFonts w:hint="default" w:ascii="Times New Roman" w:hAnsi="Times New Roman" w:eastAsia="仿宋_GB2312" w:cs="Times New Roman"/>
          <w:sz w:val="32"/>
          <w:szCs w:val="32"/>
          <w:highlight w:val="none"/>
          <w:lang w:val="en-US" w:eastAsia="zh-CN"/>
        </w:rPr>
        <w:t>把</w:t>
      </w:r>
      <w:r>
        <w:rPr>
          <w:rFonts w:hint="eastAsia" w:ascii="仿宋_GB2312" w:hAnsi="仿宋_GB2312" w:eastAsia="仿宋_GB2312" w:cs="仿宋_GB2312"/>
          <w:sz w:val="32"/>
          <w:szCs w:val="32"/>
          <w:highlight w:val="none"/>
          <w:lang w:val="en-US" w:eastAsia="zh-CN"/>
        </w:rPr>
        <w:t>“安全第一</w:t>
      </w:r>
      <w:r>
        <w:rPr>
          <w:rFonts w:hint="eastAsia" w:ascii="仿宋_GB2312" w:hAnsi="仿宋_GB2312" w:cs="仿宋_GB2312"/>
          <w:sz w:val="32"/>
          <w:szCs w:val="32"/>
          <w:highlight w:val="none"/>
          <w:lang w:val="en-US" w:eastAsia="zh-CN"/>
        </w:rPr>
        <w:t>、预防为主</w:t>
      </w:r>
      <w:r>
        <w:rPr>
          <w:rFonts w:hint="eastAsia" w:ascii="仿宋_GB2312" w:hAnsi="仿宋_GB2312" w:eastAsia="仿宋_GB2312" w:cs="仿宋_GB2312"/>
          <w:sz w:val="32"/>
          <w:szCs w:val="32"/>
          <w:highlight w:val="none"/>
          <w:lang w:val="en-US" w:eastAsia="zh-CN"/>
        </w:rPr>
        <w:t>”理念真</w:t>
      </w:r>
      <w:r>
        <w:rPr>
          <w:rFonts w:hint="default" w:ascii="Times New Roman" w:hAnsi="Times New Roman" w:eastAsia="仿宋_GB2312" w:cs="Times New Roman"/>
          <w:sz w:val="32"/>
          <w:szCs w:val="32"/>
          <w:highlight w:val="none"/>
          <w:lang w:val="en-US" w:eastAsia="zh-CN"/>
        </w:rPr>
        <w:t>正落实到</w:t>
      </w:r>
      <w:r>
        <w:rPr>
          <w:rFonts w:hint="default" w:ascii="Times New Roman" w:hAnsi="Times New Roman" w:cs="Times New Roman"/>
          <w:sz w:val="32"/>
          <w:szCs w:val="32"/>
          <w:highlight w:val="none"/>
          <w:lang w:val="en-US" w:eastAsia="zh-CN"/>
        </w:rPr>
        <w:t>工作行动</w:t>
      </w:r>
      <w:r>
        <w:rPr>
          <w:rFonts w:hint="default" w:ascii="Times New Roman" w:hAnsi="Times New Roman" w:eastAsia="仿宋_GB2312" w:cs="Times New Roman"/>
          <w:sz w:val="32"/>
          <w:szCs w:val="32"/>
          <w:highlight w:val="none"/>
          <w:lang w:val="en-US" w:eastAsia="zh-CN"/>
        </w:rPr>
        <w:t>上，</w:t>
      </w:r>
      <w:r>
        <w:rPr>
          <w:rFonts w:hint="default" w:ascii="Times New Roman" w:hAnsi="Times New Roman" w:cs="Times New Roman"/>
          <w:sz w:val="32"/>
          <w:szCs w:val="32"/>
          <w:highlight w:val="none"/>
          <w:lang w:val="en-US" w:eastAsia="zh-CN"/>
        </w:rPr>
        <w:t>导致在安全管理工作中存在短板</w:t>
      </w:r>
      <w:r>
        <w:rPr>
          <w:rFonts w:hint="default" w:ascii="Times New Roman" w:hAnsi="Times New Roman" w:eastAsia="仿宋_GB2312" w:cs="Times New Roman"/>
          <w:sz w:val="32"/>
          <w:szCs w:val="32"/>
          <w:highlight w:val="none"/>
          <w:lang w:val="en-US" w:eastAsia="zh-CN"/>
        </w:rPr>
        <w:t>。</w:t>
      </w:r>
    </w:p>
    <w:p w14:paraId="015736F7">
      <w:pPr>
        <w:keepNext w:val="0"/>
        <w:keepLines w:val="0"/>
        <w:pageBreakBefore w:val="0"/>
        <w:widowControl/>
        <w:numPr>
          <w:ilvl w:val="0"/>
          <w:numId w:val="0"/>
        </w:numPr>
        <w:kinsoku/>
        <w:wordWrap/>
        <w:overflowPunct/>
        <w:topLinePunct w:val="0"/>
        <w:autoSpaceDE/>
        <w:autoSpaceDN/>
        <w:bidi w:val="0"/>
        <w:adjustRightInd/>
        <w:snapToGrid/>
        <w:spacing w:beforeAutospacing="0" w:line="240" w:lineRule="auto"/>
        <w:ind w:firstLine="643" w:firstLineChars="200"/>
        <w:textAlignment w:val="auto"/>
        <w:rPr>
          <w:rFonts w:hint="eastAsia" w:cs="Times New Roman"/>
          <w:sz w:val="32"/>
          <w:szCs w:val="32"/>
          <w:highlight w:val="none"/>
          <w:lang w:val="en-US" w:eastAsia="zh-CN"/>
        </w:rPr>
      </w:pPr>
      <w:r>
        <w:rPr>
          <w:rFonts w:hint="eastAsia" w:ascii="楷体_GB2312" w:hAnsi="楷体_GB2312" w:eastAsia="楷体_GB2312" w:cs="楷体_GB2312"/>
          <w:b/>
          <w:bCs/>
          <w:highlight w:val="none"/>
          <w:lang w:eastAsia="zh-CN"/>
        </w:rPr>
        <w:t>（</w:t>
      </w:r>
      <w:r>
        <w:rPr>
          <w:rFonts w:hint="eastAsia" w:ascii="楷体_GB2312" w:hAnsi="楷体_GB2312" w:eastAsia="楷体_GB2312" w:cs="楷体_GB2312"/>
          <w:b/>
          <w:bCs/>
          <w:highlight w:val="none"/>
          <w:lang w:val="en-US" w:eastAsia="zh-CN"/>
        </w:rPr>
        <w:t>二</w:t>
      </w:r>
      <w:r>
        <w:rPr>
          <w:rFonts w:hint="eastAsia" w:ascii="楷体_GB2312" w:hAnsi="楷体_GB2312" w:eastAsia="楷体_GB2312" w:cs="楷体_GB2312"/>
          <w:b/>
          <w:bCs/>
          <w:highlight w:val="none"/>
          <w:lang w:eastAsia="zh-CN"/>
        </w:rPr>
        <w:t>）</w:t>
      </w:r>
      <w:r>
        <w:rPr>
          <w:rStyle w:val="27"/>
          <w:rFonts w:hint="eastAsia" w:ascii="楷体_GB2312" w:hAnsi="楷体_GB2312" w:eastAsia="楷体_GB2312" w:cs="楷体_GB2312"/>
          <w:sz w:val="32"/>
          <w:szCs w:val="32"/>
          <w:highlight w:val="none"/>
          <w:lang w:val="en-US" w:eastAsia="zh-CN"/>
        </w:rPr>
        <w:t>企业安全生产主体责任落实</w:t>
      </w:r>
      <w:r>
        <w:rPr>
          <w:rStyle w:val="27"/>
          <w:rFonts w:hint="eastAsia" w:ascii="楷体_GB2312" w:hAnsi="楷体_GB2312" w:eastAsia="楷体_GB2312" w:cs="楷体_GB2312"/>
          <w:highlight w:val="none"/>
          <w:lang w:val="en-US" w:eastAsia="zh-CN"/>
        </w:rPr>
        <w:t>不到位</w:t>
      </w:r>
      <w:r>
        <w:rPr>
          <w:rStyle w:val="27"/>
          <w:rFonts w:hint="default" w:ascii="仿宋_GB2312" w:hAnsi="仿宋_GB2312" w:cs="仿宋_GB2312"/>
          <w:sz w:val="32"/>
          <w:szCs w:val="32"/>
          <w:highlight w:val="none"/>
          <w:lang w:val="en-US" w:eastAsia="zh-CN"/>
        </w:rPr>
        <w:t>。</w:t>
      </w:r>
      <w:r>
        <w:rPr>
          <w:rFonts w:hint="default" w:ascii="Times New Roman" w:hAnsi="Times New Roman" w:cs="Times New Roman"/>
          <w:sz w:val="32"/>
          <w:szCs w:val="32"/>
          <w:highlight w:val="none"/>
          <w:lang w:val="en-US" w:eastAsia="zh-CN"/>
        </w:rPr>
        <w:t>特别是双子建设和建科建设在项目管理上存在责任不明、职责不清等问题，造成管理上的空档，双子建设未按规定编制施工方案</w:t>
      </w:r>
      <w:r>
        <w:rPr>
          <w:rFonts w:hint="eastAsia" w:cs="Times New Roman"/>
          <w:sz w:val="32"/>
          <w:szCs w:val="32"/>
          <w:highlight w:val="none"/>
          <w:lang w:val="en-US" w:eastAsia="zh-CN"/>
        </w:rPr>
        <w:t>和</w:t>
      </w:r>
      <w:r>
        <w:rPr>
          <w:rFonts w:hint="default" w:ascii="Times New Roman" w:hAnsi="Times New Roman" w:cs="Times New Roman"/>
          <w:sz w:val="32"/>
          <w:szCs w:val="32"/>
          <w:highlight w:val="none"/>
          <w:lang w:val="en-US" w:eastAsia="zh-CN"/>
        </w:rPr>
        <w:t>技术交底</w:t>
      </w:r>
      <w:r>
        <w:rPr>
          <w:rFonts w:hint="eastAsia" w:cs="Times New Roman"/>
          <w:sz w:val="32"/>
          <w:szCs w:val="32"/>
          <w:highlight w:val="none"/>
          <w:lang w:val="en-US" w:eastAsia="zh-CN"/>
        </w:rPr>
        <w:t>、建科建设在</w:t>
      </w:r>
      <w:r>
        <w:rPr>
          <w:rFonts w:hint="eastAsia"/>
          <w:highlight w:val="none"/>
          <w:lang w:eastAsia="zh-CN"/>
        </w:rPr>
        <w:t>施工前未</w:t>
      </w:r>
      <w:r>
        <w:rPr>
          <w:rFonts w:hint="eastAsia"/>
          <w:highlight w:val="none"/>
          <w:lang w:val="en-US" w:eastAsia="zh-CN"/>
        </w:rPr>
        <w:t>安排专人</w:t>
      </w:r>
      <w:r>
        <w:rPr>
          <w:rFonts w:hint="eastAsia"/>
          <w:highlight w:val="none"/>
          <w:lang w:eastAsia="zh-CN"/>
        </w:rPr>
        <w:t>到施工现场</w:t>
      </w:r>
      <w:r>
        <w:rPr>
          <w:rFonts w:hint="eastAsia"/>
          <w:highlight w:val="none"/>
          <w:lang w:val="en-US" w:eastAsia="zh-CN"/>
        </w:rPr>
        <w:t>确定泵车作业区域情况，</w:t>
      </w:r>
      <w:r>
        <w:rPr>
          <w:rFonts w:hint="eastAsia" w:ascii="仿宋_GB2312" w:hAnsi="黑体" w:eastAsia="仿宋_GB2312" w:cs="黑体"/>
          <w:sz w:val="32"/>
          <w:szCs w:val="32"/>
          <w:highlight w:val="none"/>
        </w:rPr>
        <w:t>为事故的发生埋下隐患</w:t>
      </w:r>
      <w:r>
        <w:rPr>
          <w:rFonts w:hint="eastAsia"/>
          <w:highlight w:val="none"/>
          <w:lang w:val="en-US" w:eastAsia="zh-CN"/>
        </w:rPr>
        <w:t>。</w:t>
      </w:r>
    </w:p>
    <w:p w14:paraId="44F755B8">
      <w:pPr>
        <w:keepNext w:val="0"/>
        <w:keepLines w:val="0"/>
        <w:pageBreakBefore w:val="0"/>
        <w:widowControl/>
        <w:numPr>
          <w:ilvl w:val="0"/>
          <w:numId w:val="0"/>
        </w:numPr>
        <w:kinsoku/>
        <w:wordWrap/>
        <w:overflowPunct/>
        <w:topLinePunct w:val="0"/>
        <w:autoSpaceDE/>
        <w:autoSpaceDN/>
        <w:bidi w:val="0"/>
        <w:adjustRightInd/>
        <w:snapToGrid/>
        <w:spacing w:beforeAutospacing="0" w:line="240" w:lineRule="auto"/>
        <w:ind w:firstLine="643"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eastAsia" w:ascii="楷体_GB2312" w:hAnsi="楷体_GB2312" w:eastAsia="楷体_GB2312" w:cs="楷体_GB2312"/>
          <w:b/>
          <w:bCs/>
          <w:highlight w:val="none"/>
          <w:lang w:val="en-US" w:eastAsia="zh-CN"/>
        </w:rPr>
        <w:t>（三）</w:t>
      </w:r>
      <w:r>
        <w:rPr>
          <w:rStyle w:val="27"/>
          <w:rFonts w:hint="eastAsia"/>
          <w:highlight w:val="none"/>
          <w:lang w:val="en-US" w:eastAsia="zh-CN"/>
        </w:rPr>
        <w:t>作业</w:t>
      </w:r>
      <w:r>
        <w:rPr>
          <w:rStyle w:val="27"/>
          <w:rFonts w:hint="default" w:ascii="仿宋_GB2312" w:hAnsi="仿宋_GB2312" w:cs="仿宋_GB2312"/>
          <w:sz w:val="32"/>
          <w:szCs w:val="32"/>
          <w:highlight w:val="none"/>
          <w:lang w:val="en-US" w:eastAsia="zh-CN"/>
        </w:rPr>
        <w:t>现场安全管理缺失</w:t>
      </w:r>
      <w:r>
        <w:rPr>
          <w:rStyle w:val="27"/>
          <w:rFonts w:hint="eastAsia"/>
          <w:highlight w:val="none"/>
          <w:lang w:val="en-US" w:eastAsia="zh-CN"/>
        </w:rPr>
        <w:t>。</w:t>
      </w:r>
      <w:r>
        <w:rPr>
          <w:rFonts w:hint="eastAsia" w:cs="Times New Roman"/>
          <w:b w:val="0"/>
          <w:bCs w:val="0"/>
          <w:sz w:val="32"/>
          <w:szCs w:val="32"/>
          <w:highlight w:val="none"/>
          <w:lang w:val="en-US" w:eastAsia="zh-CN"/>
        </w:rPr>
        <w:t>双子建设与建科建设</w:t>
      </w:r>
      <w:r>
        <w:rPr>
          <w:rFonts w:hint="eastAsia" w:ascii="仿宋_GB2312" w:hAnsi="仿宋_GB2312" w:cs="仿宋_GB2312"/>
          <w:b w:val="0"/>
          <w:bCs w:val="0"/>
          <w:sz w:val="32"/>
          <w:szCs w:val="32"/>
          <w:highlight w:val="none"/>
          <w:lang w:val="en-US" w:eastAsia="zh-CN"/>
        </w:rPr>
        <w:t>在同一作业区域内进行</w:t>
      </w:r>
      <w:r>
        <w:rPr>
          <w:rFonts w:hint="eastAsia" w:cs="Times New Roman"/>
          <w:b w:val="0"/>
          <w:bCs w:val="0"/>
          <w:sz w:val="32"/>
          <w:szCs w:val="32"/>
          <w:highlight w:val="none"/>
          <w:lang w:val="en-US" w:eastAsia="zh-CN"/>
        </w:rPr>
        <w:t>混凝土浇筑作业</w:t>
      </w:r>
      <w:r>
        <w:rPr>
          <w:rFonts w:hint="eastAsia" w:ascii="仿宋_GB2312" w:hAnsi="仿宋_GB2312" w:cs="仿宋_GB2312"/>
          <w:b w:val="0"/>
          <w:bCs w:val="0"/>
          <w:sz w:val="32"/>
          <w:szCs w:val="32"/>
          <w:highlight w:val="none"/>
          <w:lang w:val="en-US" w:eastAsia="zh-CN"/>
        </w:rPr>
        <w:t>，可能危及对方生产安全，双子建设未指定专职安全生产管理人员进行安全检查与协调，未及时发现并制止作业人员违规违章作业。</w:t>
      </w:r>
    </w:p>
    <w:p w14:paraId="51CAF720">
      <w:pPr>
        <w:keepNext w:val="0"/>
        <w:keepLines w:val="0"/>
        <w:pageBreakBefore w:val="0"/>
        <w:widowControl/>
        <w:numPr>
          <w:ilvl w:val="0"/>
          <w:numId w:val="0"/>
        </w:numPr>
        <w:kinsoku/>
        <w:wordWrap/>
        <w:overflowPunct/>
        <w:topLinePunct w:val="0"/>
        <w:autoSpaceDE/>
        <w:autoSpaceDN/>
        <w:bidi w:val="0"/>
        <w:adjustRightInd/>
        <w:snapToGrid/>
        <w:spacing w:beforeAutospacing="0" w:line="240" w:lineRule="auto"/>
        <w:ind w:firstLine="643" w:firstLineChars="200"/>
        <w:textAlignment w:val="auto"/>
        <w:rPr>
          <w:rFonts w:hint="eastAsia"/>
          <w:highlight w:val="none"/>
          <w:lang w:val="en-US" w:eastAsia="zh-CN"/>
        </w:rPr>
      </w:pPr>
      <w:bookmarkStart w:id="196" w:name="_Toc1580"/>
      <w:r>
        <w:rPr>
          <w:rStyle w:val="27"/>
          <w:rFonts w:hint="eastAsia"/>
          <w:highlight w:val="none"/>
          <w:lang w:val="en-US" w:eastAsia="zh-CN"/>
        </w:rPr>
        <w:t>（四）从业人员培训教育不到位。</w:t>
      </w:r>
      <w:bookmarkEnd w:id="196"/>
      <w:r>
        <w:rPr>
          <w:rFonts w:hint="eastAsia" w:ascii="仿宋_GB2312" w:hAnsi="仿宋_GB2312" w:cs="仿宋_GB2312"/>
          <w:szCs w:val="32"/>
          <w:highlight w:val="none"/>
          <w:lang w:val="en-US" w:eastAsia="zh-CN"/>
        </w:rPr>
        <w:t>双子建设</w:t>
      </w:r>
      <w:r>
        <w:rPr>
          <w:rFonts w:hint="default" w:ascii="Times New Roman" w:hAnsi="Times New Roman" w:cs="Times New Roman"/>
          <w:sz w:val="32"/>
          <w:szCs w:val="32"/>
          <w:highlight w:val="none"/>
          <w:lang w:val="en-US" w:eastAsia="zh-CN"/>
        </w:rPr>
        <w:t>岗前安全教育不到位</w:t>
      </w:r>
      <w:r>
        <w:rPr>
          <w:rFonts w:hint="eastAsia" w:cs="Times New Roman"/>
          <w:szCs w:val="32"/>
          <w:highlight w:val="none"/>
          <w:lang w:val="en-US" w:eastAsia="zh-CN"/>
        </w:rPr>
        <w:t>，作业人员</w:t>
      </w:r>
      <w:r>
        <w:rPr>
          <w:rFonts w:hint="eastAsia" w:ascii="仿宋_GB2312" w:hAnsi="黑体" w:eastAsia="仿宋_GB2312" w:cs="仿宋_GB2312"/>
          <w:sz w:val="32"/>
          <w:szCs w:val="32"/>
          <w:highlight w:val="none"/>
        </w:rPr>
        <w:t>相关岗位安全操作技能缺失，</w:t>
      </w:r>
      <w:r>
        <w:rPr>
          <w:rFonts w:hint="eastAsia" w:cs="Times New Roman"/>
          <w:szCs w:val="32"/>
          <w:highlight w:val="none"/>
          <w:lang w:val="en-US" w:eastAsia="zh-CN"/>
        </w:rPr>
        <w:t>建科建设</w:t>
      </w:r>
      <w:r>
        <w:rPr>
          <w:rFonts w:hint="eastAsia"/>
          <w:highlight w:val="none"/>
        </w:rPr>
        <w:t>对新入职员工于明利的安全生产教育培训</w:t>
      </w:r>
      <w:r>
        <w:rPr>
          <w:rFonts w:hint="eastAsia"/>
          <w:highlight w:val="none"/>
          <w:lang w:val="en-US" w:eastAsia="zh-CN"/>
        </w:rPr>
        <w:t>未规范考核，</w:t>
      </w:r>
      <w:r>
        <w:rPr>
          <w:rFonts w:hint="eastAsia" w:ascii="仿宋_GB2312" w:hAnsi="黑体" w:eastAsia="仿宋_GB2312" w:cs="仿宋_GB2312"/>
          <w:sz w:val="32"/>
          <w:szCs w:val="32"/>
          <w:highlight w:val="none"/>
        </w:rPr>
        <w:t>培训效果不明显，安全意识淡薄，导致事故发生</w:t>
      </w:r>
      <w:r>
        <w:rPr>
          <w:rFonts w:hint="eastAsia"/>
          <w:highlight w:val="none"/>
          <w:lang w:val="en-US" w:eastAsia="zh-CN"/>
        </w:rPr>
        <w:t>。</w:t>
      </w:r>
    </w:p>
    <w:p w14:paraId="78B89AF1">
      <w:pPr>
        <w:pStyle w:val="2"/>
        <w:bidi w:val="0"/>
        <w:rPr>
          <w:rFonts w:hint="eastAsia"/>
          <w:highlight w:val="none"/>
          <w:lang w:val="en-US" w:eastAsia="zh-CN"/>
        </w:rPr>
      </w:pPr>
      <w:bookmarkStart w:id="197" w:name="_Toc24473"/>
      <w:bookmarkStart w:id="198" w:name="_Toc8994"/>
      <w:bookmarkStart w:id="199" w:name="_Toc8297"/>
      <w:bookmarkStart w:id="200" w:name="_Toc20904"/>
      <w:bookmarkStart w:id="201" w:name="_Toc630"/>
      <w:bookmarkStart w:id="202" w:name="_Toc7913"/>
      <w:bookmarkStart w:id="203" w:name="_Toc18232"/>
      <w:bookmarkStart w:id="204" w:name="_Toc5308"/>
      <w:r>
        <w:rPr>
          <w:rFonts w:hint="eastAsia"/>
          <w:highlight w:val="none"/>
          <w:lang w:val="en-US" w:eastAsia="zh-CN"/>
        </w:rPr>
        <w:t>六、事故</w:t>
      </w:r>
      <w:bookmarkEnd w:id="197"/>
      <w:bookmarkEnd w:id="198"/>
      <w:bookmarkEnd w:id="199"/>
      <w:bookmarkEnd w:id="200"/>
      <w:bookmarkEnd w:id="201"/>
      <w:bookmarkEnd w:id="202"/>
      <w:bookmarkEnd w:id="203"/>
      <w:r>
        <w:rPr>
          <w:rFonts w:hint="eastAsia"/>
          <w:highlight w:val="none"/>
          <w:lang w:val="en-US" w:eastAsia="zh-CN"/>
        </w:rPr>
        <w:t>防范和整改措施</w:t>
      </w:r>
      <w:bookmarkEnd w:id="204"/>
    </w:p>
    <w:p w14:paraId="078BA87F">
      <w:pPr>
        <w:pStyle w:val="3"/>
        <w:bidi w:val="0"/>
        <w:rPr>
          <w:rFonts w:hint="eastAsia"/>
          <w:highlight w:val="none"/>
          <w:lang w:val="en-US" w:eastAsia="zh-CN"/>
        </w:rPr>
      </w:pPr>
      <w:bookmarkStart w:id="205" w:name="_Toc2215"/>
      <w:bookmarkStart w:id="206" w:name="_Toc13255"/>
      <w:r>
        <w:rPr>
          <w:rFonts w:hint="eastAsia"/>
          <w:highlight w:val="none"/>
          <w:lang w:val="en-US" w:eastAsia="zh-CN"/>
        </w:rPr>
        <w:t>（一）进一步强化安全发展理念，加强底线思维。</w:t>
      </w:r>
      <w:bookmarkEnd w:id="205"/>
      <w:bookmarkEnd w:id="206"/>
    </w:p>
    <w:p w14:paraId="1E86E900">
      <w:pPr>
        <w:pStyle w:val="24"/>
        <w:framePr w:w="0" w:hRule="auto" w:wrap="auto" w:vAnchor="margin" w:hAnchor="text" w:xAlign="left" w:yAlign="inline"/>
        <w:spacing w:line="560" w:lineRule="exact"/>
        <w:ind w:firstLine="640" w:firstLineChars="200"/>
        <w:contextualSpacing/>
        <w:jc w:val="both"/>
        <w:rPr>
          <w:rFonts w:hint="eastAsia" w:ascii="仿宋_GB2312" w:eastAsia="仿宋_GB2312"/>
          <w:sz w:val="32"/>
          <w:szCs w:val="32"/>
          <w:highlight w:val="none"/>
          <w:lang w:eastAsia="zh-CN"/>
        </w:rPr>
      </w:pPr>
      <w:r>
        <w:rPr>
          <w:rFonts w:hint="eastAsia" w:ascii="仿宋_GB2312" w:eastAsia="仿宋_GB2312"/>
          <w:sz w:val="32"/>
          <w:szCs w:val="32"/>
          <w:highlight w:val="none"/>
        </w:rPr>
        <w:t>要深入学习贯彻习近平总书记关于安全生产重要论述和指示批示精神，树牢安全发展理念，坚持“两个至上”，坚守“发展决不能以牺牲人的生命为代价”这条红线</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构建全方位的安全监管网络，推动形成科学有效的监管工作格局。要在构建长效机制上持续发力，推动安全规范、安全责任落实到每个岗位、每个环节，确保安全发展。</w:t>
      </w:r>
    </w:p>
    <w:p w14:paraId="37B23663">
      <w:pPr>
        <w:pStyle w:val="3"/>
        <w:bidi w:val="0"/>
        <w:rPr>
          <w:rFonts w:hint="eastAsia"/>
          <w:highlight w:val="none"/>
          <w:lang w:val="en-US" w:eastAsia="zh-CN"/>
        </w:rPr>
      </w:pPr>
      <w:bookmarkStart w:id="207" w:name="_Toc32227"/>
      <w:bookmarkStart w:id="208" w:name="_Toc21249"/>
      <w:r>
        <w:rPr>
          <w:rFonts w:hint="eastAsia"/>
          <w:highlight w:val="none"/>
          <w:lang w:eastAsia="zh-CN"/>
        </w:rPr>
        <w:t>（</w:t>
      </w:r>
      <w:r>
        <w:rPr>
          <w:rFonts w:hint="eastAsia"/>
          <w:highlight w:val="none"/>
          <w:lang w:val="en-US" w:eastAsia="zh-CN"/>
        </w:rPr>
        <w:t>二</w:t>
      </w:r>
      <w:r>
        <w:rPr>
          <w:rFonts w:hint="eastAsia"/>
          <w:highlight w:val="none"/>
          <w:lang w:eastAsia="zh-CN"/>
        </w:rPr>
        <w:t>）</w:t>
      </w:r>
      <w:r>
        <w:rPr>
          <w:rFonts w:hint="eastAsia"/>
          <w:highlight w:val="none"/>
          <w:lang w:val="en-US" w:eastAsia="zh-CN"/>
        </w:rPr>
        <w:t>进一步加强安全培训教育，提高风险意识。</w:t>
      </w:r>
      <w:bookmarkEnd w:id="207"/>
      <w:bookmarkEnd w:id="208"/>
    </w:p>
    <w:p w14:paraId="40ED6C9E">
      <w:pPr>
        <w:pStyle w:val="24"/>
        <w:framePr w:w="0" w:hRule="auto" w:wrap="auto" w:vAnchor="margin" w:hAnchor="text" w:xAlign="left" w:yAlign="inline"/>
        <w:spacing w:line="560" w:lineRule="exact"/>
        <w:ind w:firstLine="640" w:firstLineChars="200"/>
        <w:contextualSpacing/>
        <w:jc w:val="both"/>
        <w:rPr>
          <w:rFonts w:hint="eastAsia" w:ascii="仿宋_GB2312" w:hAnsi="仿宋" w:eastAsia="仿宋_GB2312"/>
          <w:color w:val="auto"/>
          <w:sz w:val="32"/>
          <w:szCs w:val="32"/>
          <w:highlight w:val="none"/>
          <w:lang w:val="en-US" w:eastAsia="zh-CN"/>
        </w:rPr>
      </w:pPr>
      <w:r>
        <w:rPr>
          <w:rFonts w:hint="eastAsia" w:ascii="仿宋_GB2312" w:hAnsi="仿宋" w:eastAsia="仿宋_GB2312"/>
          <w:color w:val="auto"/>
          <w:sz w:val="32"/>
          <w:szCs w:val="32"/>
          <w:highlight w:val="none"/>
          <w:lang w:val="en-US" w:eastAsia="zh-CN"/>
        </w:rPr>
        <w:t>安全教育培训是抓责任落实的“牛鼻子”。施工作业前，发包单位要组织对承包单位相关人员进行专项安全教育培训，使相关人员熟悉作业现场基本情况、存在的主要危险、应急处理措施以及进入现场的安全注意事项等。承包单位要针对外包施工项目对所有作业人员开展一次专项安全教育培训，发包单位要派员参加并监督指导。未经安全培训并考核合格的，一律不得上岗作业。项目部负责人、安全管理人员和特种作业人员要严格按照有关规定持证上岗。外包作业人员在执行施工作业任务时，承包单位不得擅自更换工程负责人、专业技术人员、安全管理人员和特种作业人员。特殊情况需要换人时，必须征得发包单位同意，并对新上岗的从业人员进行上岗前的专项安全生产教育培训。</w:t>
      </w:r>
    </w:p>
    <w:p w14:paraId="0F580110">
      <w:pPr>
        <w:pStyle w:val="3"/>
        <w:bidi w:val="0"/>
        <w:rPr>
          <w:rFonts w:hint="default"/>
          <w:highlight w:val="none"/>
          <w:lang w:val="en-US" w:eastAsia="zh-CN"/>
        </w:rPr>
      </w:pPr>
      <w:bookmarkStart w:id="209" w:name="_Toc11361"/>
      <w:bookmarkStart w:id="210" w:name="_Toc21379"/>
      <w:r>
        <w:rPr>
          <w:rFonts w:hint="eastAsia"/>
          <w:highlight w:val="none"/>
          <w:lang w:val="en-US" w:eastAsia="zh-CN"/>
        </w:rPr>
        <w:t>（三）进一步完善作业检查标准，强化责任意识。</w:t>
      </w:r>
      <w:bookmarkEnd w:id="209"/>
      <w:bookmarkEnd w:id="210"/>
    </w:p>
    <w:p w14:paraId="25FCD588">
      <w:pPr>
        <w:spacing w:line="560" w:lineRule="exact"/>
        <w:ind w:firstLine="640" w:firstLineChars="200"/>
        <w:rPr>
          <w:rStyle w:val="27"/>
          <w:rFonts w:hint="eastAsia"/>
          <w:bCs/>
          <w:highlight w:val="none"/>
        </w:rPr>
      </w:pPr>
      <w:r>
        <w:rPr>
          <w:rFonts w:hint="eastAsia" w:ascii="仿宋_GB2312" w:hAnsi="仿宋" w:eastAsia="仿宋_GB2312"/>
          <w:color w:val="auto"/>
          <w:sz w:val="32"/>
          <w:szCs w:val="32"/>
          <w:highlight w:val="none"/>
          <w:lang w:val="en-US" w:eastAsia="zh-CN"/>
        </w:rPr>
        <w:t>要进一步完善检查标准，梳理完善项目实施过程中的各类风险因素，制定有针对性的检查标准。建筑工地施工要加大对非主体施工的小项目、小分包的检查力度，</w:t>
      </w:r>
      <w:r>
        <w:rPr>
          <w:rFonts w:hint="eastAsia" w:ascii="仿宋_GB2312" w:hAnsi="仿宋_GB2312" w:eastAsia="仿宋_GB2312" w:cs="仿宋_GB2312"/>
          <w:sz w:val="32"/>
          <w:szCs w:val="32"/>
          <w:highlight w:val="none"/>
        </w:rPr>
        <w:t>进一步督导落实安全生产规章制度，严格执行安全操作规程。全面贯彻落实风险分级管控和隐患排查治理双重预防机制，全方位辨识安全风险，实现全员全过程管控。加强危险作业管理，严格履行审批、监护职责。强化应急演练，切实提高异常工况和生产安全事故的应急处置能力。</w:t>
      </w:r>
    </w:p>
    <w:p w14:paraId="5BC35CFE">
      <w:pPr>
        <w:pStyle w:val="3"/>
        <w:bidi w:val="0"/>
        <w:rPr>
          <w:rFonts w:hint="default"/>
          <w:highlight w:val="none"/>
          <w:lang w:val="en-US" w:eastAsia="zh-CN"/>
        </w:rPr>
      </w:pPr>
      <w:bookmarkStart w:id="211" w:name="_Toc11310"/>
      <w:bookmarkStart w:id="212" w:name="_Toc31160"/>
      <w:r>
        <w:rPr>
          <w:rFonts w:hint="eastAsia"/>
          <w:highlight w:val="none"/>
          <w:lang w:val="en-US" w:eastAsia="zh-CN"/>
        </w:rPr>
        <w:t>（四）进一步做好安全技术交底，增强安全意识。</w:t>
      </w:r>
      <w:bookmarkEnd w:id="211"/>
      <w:bookmarkEnd w:id="212"/>
    </w:p>
    <w:p w14:paraId="0BA808B5">
      <w:pPr>
        <w:pStyle w:val="24"/>
        <w:framePr w:w="0" w:hRule="auto" w:wrap="auto" w:vAnchor="margin" w:hAnchor="text" w:xAlign="left" w:yAlign="inline"/>
        <w:spacing w:line="560" w:lineRule="exact"/>
        <w:ind w:firstLine="640" w:firstLineChars="200"/>
        <w:contextualSpacing/>
        <w:jc w:val="both"/>
        <w:rPr>
          <w:rFonts w:hint="eastAsia" w:ascii="仿宋_GB2312" w:hAnsi="仿宋" w:eastAsia="仿宋_GB2312"/>
          <w:color w:val="auto"/>
          <w:sz w:val="32"/>
          <w:szCs w:val="32"/>
          <w:highlight w:val="none"/>
          <w:lang w:val="en-US" w:eastAsia="zh-CN"/>
        </w:rPr>
      </w:pPr>
      <w:r>
        <w:rPr>
          <w:rFonts w:hint="eastAsia" w:ascii="仿宋_GB2312" w:hAnsi="仿宋" w:eastAsia="仿宋_GB2312"/>
          <w:color w:val="auto"/>
          <w:sz w:val="32"/>
          <w:szCs w:val="32"/>
          <w:highlight w:val="none"/>
          <w:lang w:val="en-US" w:eastAsia="zh-CN"/>
        </w:rPr>
        <w:t>在项目开工前，发包单位要对承包单位有关负责人和工程技术人员进行安全技术交底，向承包单位提供承包工程项目的工作现场及毗邻区域供水、供电、供热、供气、通信等配套工程情况的相关资料，对作业范围、工艺流程特点、危险因素、应急处置建议、安全生产责任等事项作出明确说明，并经双方签字确认后存档。在作业之前，要签订安全风险告知书或审查承包单位签订安全风险告知书情况，告知准备作业人员相关的安全风险及应急处置措施，做到统一安全交底、统一安全防护、统一过程监控，确保在各项安全措施落实到位的前提下，开展各类作业。</w:t>
      </w:r>
    </w:p>
    <w:sectPr>
      <w:footerReference r:id="rId5" w:type="default"/>
      <w:footnotePr>
        <w:numFmt w:val="decimal"/>
      </w:footnotePr>
      <w:pgSz w:w="11906" w:h="16838"/>
      <w:pgMar w:top="2098" w:right="1531" w:bottom="1984" w:left="1531" w:header="851" w:footer="992"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8EF6652A-C756-442E-895E-7365FF9D4328}"/>
  </w:font>
  <w:font w:name="黑体">
    <w:panose1 w:val="02010609060101010101"/>
    <w:charset w:val="86"/>
    <w:family w:val="auto"/>
    <w:pitch w:val="default"/>
    <w:sig w:usb0="800002BF" w:usb1="38CF7CFA" w:usb2="00000016" w:usb3="00000000" w:csb0="00040001" w:csb1="00000000"/>
    <w:embedRegular r:id="rId2" w:fontKey="{3F2757B4-28DA-4378-9A1E-750885304BE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3" w:fontKey="{B6C7A065-EFCC-422D-915F-9945F4334101}"/>
  </w:font>
  <w:font w:name="楷体_GB2312">
    <w:panose1 w:val="02010609030101010101"/>
    <w:charset w:val="86"/>
    <w:family w:val="auto"/>
    <w:pitch w:val="default"/>
    <w:sig w:usb0="00000001" w:usb1="080E0000" w:usb2="00000000" w:usb3="00000000" w:csb0="00040000" w:csb1="00000000"/>
    <w:embedRegular r:id="rId4" w:fontKey="{6117996C-C12D-4E4B-B21B-1386886920C8}"/>
  </w:font>
  <w:font w:name="仿宋">
    <w:panose1 w:val="02010609060101010101"/>
    <w:charset w:val="86"/>
    <w:family w:val="modern"/>
    <w:pitch w:val="default"/>
    <w:sig w:usb0="800002BF" w:usb1="38CF7CFA" w:usb2="00000016" w:usb3="00000000" w:csb0="00040001" w:csb1="00000000"/>
    <w:embedRegular r:id="rId5" w:fontKey="{A43C687D-AC4B-4711-8056-4DB5C8104C21}"/>
  </w:font>
  <w:font w:name="方正小标宋简体">
    <w:panose1 w:val="02000000000000000000"/>
    <w:charset w:val="86"/>
    <w:family w:val="auto"/>
    <w:pitch w:val="default"/>
    <w:sig w:usb0="00000001" w:usb1="080E0000" w:usb2="00000000" w:usb3="00000000" w:csb0="00040000" w:csb1="00000000"/>
    <w:embedRegular r:id="rId6" w:fontKey="{5DFC20A2-C00F-43EB-BC8E-6761E0564B9F}"/>
  </w:font>
  <w:font w:name="楷体">
    <w:panose1 w:val="02010609060101010101"/>
    <w:charset w:val="86"/>
    <w:family w:val="modern"/>
    <w:pitch w:val="default"/>
    <w:sig w:usb0="800002BF" w:usb1="38CF7CFA" w:usb2="00000016" w:usb3="00000000" w:csb0="00040001" w:csb1="00000000"/>
    <w:embedRegular r:id="rId7" w:fontKey="{17922A28-2B20-4664-9333-519DE4922DAE}"/>
  </w:font>
  <w:font w:name="微软雅黑">
    <w:panose1 w:val="020B0503020204020204"/>
    <w:charset w:val="86"/>
    <w:family w:val="auto"/>
    <w:pitch w:val="default"/>
    <w:sig w:usb0="80000287" w:usb1="280F3C52" w:usb2="00000016" w:usb3="00000000" w:csb0="0004001F" w:csb1="00000000"/>
    <w:embedRegular r:id="rId8" w:fontKey="{CFFBF9FF-EA15-48FD-BEBD-D413DED89659}"/>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8EE68">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F2B02C">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AF2B02C">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JjMTA2NjI5MWI2ODZiMTcyNDA3YzE2YzdkZTNjOGIifQ=="/>
  </w:docVars>
  <w:rsids>
    <w:rsidRoot w:val="00000000"/>
    <w:rsid w:val="001409B7"/>
    <w:rsid w:val="008D313A"/>
    <w:rsid w:val="00A4778B"/>
    <w:rsid w:val="00A861B8"/>
    <w:rsid w:val="00DA3EA5"/>
    <w:rsid w:val="00EB2856"/>
    <w:rsid w:val="00EC464A"/>
    <w:rsid w:val="013B4944"/>
    <w:rsid w:val="01622A20"/>
    <w:rsid w:val="016E54D2"/>
    <w:rsid w:val="01842F29"/>
    <w:rsid w:val="018C1643"/>
    <w:rsid w:val="018C33F1"/>
    <w:rsid w:val="01993D60"/>
    <w:rsid w:val="01A8512A"/>
    <w:rsid w:val="01B266F3"/>
    <w:rsid w:val="01D42C43"/>
    <w:rsid w:val="01E943A0"/>
    <w:rsid w:val="02225F15"/>
    <w:rsid w:val="022C6410"/>
    <w:rsid w:val="02626540"/>
    <w:rsid w:val="027C3466"/>
    <w:rsid w:val="028265A2"/>
    <w:rsid w:val="02947AA1"/>
    <w:rsid w:val="02AC052B"/>
    <w:rsid w:val="02C46BBB"/>
    <w:rsid w:val="02C8684D"/>
    <w:rsid w:val="02D54924"/>
    <w:rsid w:val="02D96909"/>
    <w:rsid w:val="02E35293"/>
    <w:rsid w:val="02FA438B"/>
    <w:rsid w:val="02FB6208"/>
    <w:rsid w:val="032A1114"/>
    <w:rsid w:val="03442A3C"/>
    <w:rsid w:val="036068E4"/>
    <w:rsid w:val="03653EFA"/>
    <w:rsid w:val="037E320E"/>
    <w:rsid w:val="039262B2"/>
    <w:rsid w:val="03965174"/>
    <w:rsid w:val="03C20E03"/>
    <w:rsid w:val="03DD07F6"/>
    <w:rsid w:val="03EC06CA"/>
    <w:rsid w:val="03F05666"/>
    <w:rsid w:val="04003C23"/>
    <w:rsid w:val="041871BE"/>
    <w:rsid w:val="041A451F"/>
    <w:rsid w:val="04476DFE"/>
    <w:rsid w:val="04506958"/>
    <w:rsid w:val="046B5828"/>
    <w:rsid w:val="04785EAF"/>
    <w:rsid w:val="04836CFC"/>
    <w:rsid w:val="04901417"/>
    <w:rsid w:val="04934A97"/>
    <w:rsid w:val="04A3106E"/>
    <w:rsid w:val="04BF3ADE"/>
    <w:rsid w:val="04D2506E"/>
    <w:rsid w:val="04E64942"/>
    <w:rsid w:val="04E80E83"/>
    <w:rsid w:val="04F27A0F"/>
    <w:rsid w:val="051D1369"/>
    <w:rsid w:val="053101F0"/>
    <w:rsid w:val="05350E7D"/>
    <w:rsid w:val="053C228C"/>
    <w:rsid w:val="05597A8E"/>
    <w:rsid w:val="05642E81"/>
    <w:rsid w:val="05AB3CD1"/>
    <w:rsid w:val="05CE19E6"/>
    <w:rsid w:val="05E91A19"/>
    <w:rsid w:val="05F23A3F"/>
    <w:rsid w:val="060905E2"/>
    <w:rsid w:val="061B2F96"/>
    <w:rsid w:val="062D75A9"/>
    <w:rsid w:val="063522A9"/>
    <w:rsid w:val="063A78C0"/>
    <w:rsid w:val="0648365F"/>
    <w:rsid w:val="068723D9"/>
    <w:rsid w:val="068C109B"/>
    <w:rsid w:val="06AE3E0A"/>
    <w:rsid w:val="06BF4D21"/>
    <w:rsid w:val="06DD024B"/>
    <w:rsid w:val="06E35AE8"/>
    <w:rsid w:val="06FC2DC7"/>
    <w:rsid w:val="070659F4"/>
    <w:rsid w:val="071C7F9D"/>
    <w:rsid w:val="07375BAD"/>
    <w:rsid w:val="0768708F"/>
    <w:rsid w:val="076B4DFC"/>
    <w:rsid w:val="07794418"/>
    <w:rsid w:val="07B03476"/>
    <w:rsid w:val="07B51198"/>
    <w:rsid w:val="07BF2532"/>
    <w:rsid w:val="08124C47"/>
    <w:rsid w:val="08585DDB"/>
    <w:rsid w:val="085A5458"/>
    <w:rsid w:val="086F75C9"/>
    <w:rsid w:val="08BA0844"/>
    <w:rsid w:val="08CC4A1B"/>
    <w:rsid w:val="09092034"/>
    <w:rsid w:val="091837BC"/>
    <w:rsid w:val="09207C8C"/>
    <w:rsid w:val="093F343F"/>
    <w:rsid w:val="094D790A"/>
    <w:rsid w:val="0957310B"/>
    <w:rsid w:val="09655EDE"/>
    <w:rsid w:val="09684744"/>
    <w:rsid w:val="096F07A6"/>
    <w:rsid w:val="09931095"/>
    <w:rsid w:val="09D30D2D"/>
    <w:rsid w:val="0A0B5495"/>
    <w:rsid w:val="0A1641A0"/>
    <w:rsid w:val="0A165F4E"/>
    <w:rsid w:val="0A1977EC"/>
    <w:rsid w:val="0A206DCD"/>
    <w:rsid w:val="0A4F5DE3"/>
    <w:rsid w:val="0A60541B"/>
    <w:rsid w:val="0AA95014"/>
    <w:rsid w:val="0ADF0A36"/>
    <w:rsid w:val="0B105F5E"/>
    <w:rsid w:val="0B1B4579"/>
    <w:rsid w:val="0B2157EA"/>
    <w:rsid w:val="0B7C57C0"/>
    <w:rsid w:val="0BDC4F75"/>
    <w:rsid w:val="0BE01DA1"/>
    <w:rsid w:val="0BEB6F66"/>
    <w:rsid w:val="0BFF28D5"/>
    <w:rsid w:val="0C033CB4"/>
    <w:rsid w:val="0C3628D7"/>
    <w:rsid w:val="0C362CCC"/>
    <w:rsid w:val="0C5965C6"/>
    <w:rsid w:val="0C8800B5"/>
    <w:rsid w:val="0C932600"/>
    <w:rsid w:val="0CC3622E"/>
    <w:rsid w:val="0CC7555E"/>
    <w:rsid w:val="0CCB488C"/>
    <w:rsid w:val="0CEE31B2"/>
    <w:rsid w:val="0D083A90"/>
    <w:rsid w:val="0D0B5B12"/>
    <w:rsid w:val="0D0E73B0"/>
    <w:rsid w:val="0D1A5C58"/>
    <w:rsid w:val="0D1F336B"/>
    <w:rsid w:val="0D444B80"/>
    <w:rsid w:val="0D591077"/>
    <w:rsid w:val="0D643474"/>
    <w:rsid w:val="0D7314B4"/>
    <w:rsid w:val="0D887163"/>
    <w:rsid w:val="0D8E3726"/>
    <w:rsid w:val="0DB02216"/>
    <w:rsid w:val="0DC43625"/>
    <w:rsid w:val="0DFC52C6"/>
    <w:rsid w:val="0DFE11D3"/>
    <w:rsid w:val="0E080E9F"/>
    <w:rsid w:val="0E56750D"/>
    <w:rsid w:val="0E963B01"/>
    <w:rsid w:val="0E9C279A"/>
    <w:rsid w:val="0EA33EF7"/>
    <w:rsid w:val="0ECF491D"/>
    <w:rsid w:val="0F1D7D7F"/>
    <w:rsid w:val="0F3F0608"/>
    <w:rsid w:val="0F464CA7"/>
    <w:rsid w:val="0F5D017B"/>
    <w:rsid w:val="0F7F3FEB"/>
    <w:rsid w:val="0F8A3AC9"/>
    <w:rsid w:val="0FB75E77"/>
    <w:rsid w:val="0FCD209C"/>
    <w:rsid w:val="0FCF029B"/>
    <w:rsid w:val="0FD03043"/>
    <w:rsid w:val="0FD62E4F"/>
    <w:rsid w:val="0FE1534A"/>
    <w:rsid w:val="0FF22879"/>
    <w:rsid w:val="10021D16"/>
    <w:rsid w:val="10041FA8"/>
    <w:rsid w:val="100827DD"/>
    <w:rsid w:val="105E5B5B"/>
    <w:rsid w:val="10613C9B"/>
    <w:rsid w:val="10634E37"/>
    <w:rsid w:val="10771710"/>
    <w:rsid w:val="107B2FAF"/>
    <w:rsid w:val="107B60AE"/>
    <w:rsid w:val="10D97CD5"/>
    <w:rsid w:val="113E4CA2"/>
    <w:rsid w:val="11401B02"/>
    <w:rsid w:val="11427629"/>
    <w:rsid w:val="115671AB"/>
    <w:rsid w:val="118063A3"/>
    <w:rsid w:val="11816533"/>
    <w:rsid w:val="11916802"/>
    <w:rsid w:val="119D0D03"/>
    <w:rsid w:val="11B6527E"/>
    <w:rsid w:val="11BF451F"/>
    <w:rsid w:val="12041C4A"/>
    <w:rsid w:val="12083E2E"/>
    <w:rsid w:val="120C7C36"/>
    <w:rsid w:val="12154D3D"/>
    <w:rsid w:val="12260CF8"/>
    <w:rsid w:val="12374163"/>
    <w:rsid w:val="12474A0F"/>
    <w:rsid w:val="1279351E"/>
    <w:rsid w:val="127C4DBC"/>
    <w:rsid w:val="129C720C"/>
    <w:rsid w:val="12BD27F8"/>
    <w:rsid w:val="12BE1E8C"/>
    <w:rsid w:val="12F6691D"/>
    <w:rsid w:val="132C0590"/>
    <w:rsid w:val="13692FF7"/>
    <w:rsid w:val="137F4B64"/>
    <w:rsid w:val="13F82B68"/>
    <w:rsid w:val="14072DAB"/>
    <w:rsid w:val="14170540"/>
    <w:rsid w:val="14447B5C"/>
    <w:rsid w:val="144E0EB1"/>
    <w:rsid w:val="14A81E98"/>
    <w:rsid w:val="14AD5701"/>
    <w:rsid w:val="14CB0413"/>
    <w:rsid w:val="14EB1A70"/>
    <w:rsid w:val="14EC73E1"/>
    <w:rsid w:val="14F24607"/>
    <w:rsid w:val="1525798D"/>
    <w:rsid w:val="1585042C"/>
    <w:rsid w:val="159A3ED7"/>
    <w:rsid w:val="159C63CD"/>
    <w:rsid w:val="15A85596"/>
    <w:rsid w:val="15B93A32"/>
    <w:rsid w:val="15C56A7A"/>
    <w:rsid w:val="15C7774E"/>
    <w:rsid w:val="15C82AFA"/>
    <w:rsid w:val="15D849FF"/>
    <w:rsid w:val="15DD3DC4"/>
    <w:rsid w:val="15E909BB"/>
    <w:rsid w:val="160457F4"/>
    <w:rsid w:val="16361726"/>
    <w:rsid w:val="1663076D"/>
    <w:rsid w:val="169819EF"/>
    <w:rsid w:val="16AD19E8"/>
    <w:rsid w:val="16AD3796"/>
    <w:rsid w:val="16C777FE"/>
    <w:rsid w:val="16CA259A"/>
    <w:rsid w:val="16EC4928"/>
    <w:rsid w:val="16EE3E9B"/>
    <w:rsid w:val="170D17F7"/>
    <w:rsid w:val="174D6A83"/>
    <w:rsid w:val="176A3129"/>
    <w:rsid w:val="177B3894"/>
    <w:rsid w:val="17824C23"/>
    <w:rsid w:val="17873403"/>
    <w:rsid w:val="178865EF"/>
    <w:rsid w:val="17BB17AF"/>
    <w:rsid w:val="17C118AF"/>
    <w:rsid w:val="17EC3D72"/>
    <w:rsid w:val="181D0DEF"/>
    <w:rsid w:val="18716748"/>
    <w:rsid w:val="189162FF"/>
    <w:rsid w:val="189746FE"/>
    <w:rsid w:val="18AD2173"/>
    <w:rsid w:val="18CE2F21"/>
    <w:rsid w:val="18D72D4C"/>
    <w:rsid w:val="18E06E70"/>
    <w:rsid w:val="191A4E28"/>
    <w:rsid w:val="192F4936"/>
    <w:rsid w:val="19B1359D"/>
    <w:rsid w:val="19DB7A29"/>
    <w:rsid w:val="1A0062D3"/>
    <w:rsid w:val="1A1A55E6"/>
    <w:rsid w:val="1A355960"/>
    <w:rsid w:val="1A5C61CC"/>
    <w:rsid w:val="1A606529"/>
    <w:rsid w:val="1A954BC5"/>
    <w:rsid w:val="1AA03612"/>
    <w:rsid w:val="1AAC5768"/>
    <w:rsid w:val="1AB00F14"/>
    <w:rsid w:val="1AB6187A"/>
    <w:rsid w:val="1ABC48F0"/>
    <w:rsid w:val="1ADE3F4C"/>
    <w:rsid w:val="1AF26791"/>
    <w:rsid w:val="1AF44089"/>
    <w:rsid w:val="1AF5570C"/>
    <w:rsid w:val="1AFA719E"/>
    <w:rsid w:val="1B063DBD"/>
    <w:rsid w:val="1B51581C"/>
    <w:rsid w:val="1B55264E"/>
    <w:rsid w:val="1B5A1A13"/>
    <w:rsid w:val="1B717F00"/>
    <w:rsid w:val="1B970EB9"/>
    <w:rsid w:val="1BA23AE5"/>
    <w:rsid w:val="1BC704CB"/>
    <w:rsid w:val="1BC9539D"/>
    <w:rsid w:val="1C0F0A4F"/>
    <w:rsid w:val="1C2E7D0A"/>
    <w:rsid w:val="1C314E69"/>
    <w:rsid w:val="1C3D5E9A"/>
    <w:rsid w:val="1C556DAA"/>
    <w:rsid w:val="1C56667E"/>
    <w:rsid w:val="1C5F19D6"/>
    <w:rsid w:val="1C9006B4"/>
    <w:rsid w:val="1C9A0C60"/>
    <w:rsid w:val="1C9F4596"/>
    <w:rsid w:val="1CA078F9"/>
    <w:rsid w:val="1CA67605"/>
    <w:rsid w:val="1CAA0778"/>
    <w:rsid w:val="1D022362"/>
    <w:rsid w:val="1D0F1AFF"/>
    <w:rsid w:val="1D1964B6"/>
    <w:rsid w:val="1D1C20E3"/>
    <w:rsid w:val="1D3C476A"/>
    <w:rsid w:val="1D677FC0"/>
    <w:rsid w:val="1D746761"/>
    <w:rsid w:val="1DA840EB"/>
    <w:rsid w:val="1DD6576C"/>
    <w:rsid w:val="1DE13DA4"/>
    <w:rsid w:val="1DF223D6"/>
    <w:rsid w:val="1E081BFA"/>
    <w:rsid w:val="1E0B5246"/>
    <w:rsid w:val="1E4314EE"/>
    <w:rsid w:val="1E4F7829"/>
    <w:rsid w:val="1E645BDF"/>
    <w:rsid w:val="1E761259"/>
    <w:rsid w:val="1ED16490"/>
    <w:rsid w:val="1EF4208D"/>
    <w:rsid w:val="1F0E6B82"/>
    <w:rsid w:val="1F1C595D"/>
    <w:rsid w:val="1F572E39"/>
    <w:rsid w:val="1F5E5F75"/>
    <w:rsid w:val="1F622372"/>
    <w:rsid w:val="1F8654CC"/>
    <w:rsid w:val="1F903C55"/>
    <w:rsid w:val="1FB166A1"/>
    <w:rsid w:val="1FB74BD2"/>
    <w:rsid w:val="1FBE4C66"/>
    <w:rsid w:val="1FCA360B"/>
    <w:rsid w:val="1FD409E1"/>
    <w:rsid w:val="1FEB213C"/>
    <w:rsid w:val="1FF01AEB"/>
    <w:rsid w:val="1FFB37C4"/>
    <w:rsid w:val="20322003"/>
    <w:rsid w:val="20383FC2"/>
    <w:rsid w:val="204F3B10"/>
    <w:rsid w:val="206A26F8"/>
    <w:rsid w:val="2082315D"/>
    <w:rsid w:val="20B9702F"/>
    <w:rsid w:val="20C96607"/>
    <w:rsid w:val="20D83B05"/>
    <w:rsid w:val="20E24984"/>
    <w:rsid w:val="212B632B"/>
    <w:rsid w:val="217575A6"/>
    <w:rsid w:val="218E2416"/>
    <w:rsid w:val="21A41C3A"/>
    <w:rsid w:val="21BA6401"/>
    <w:rsid w:val="22056296"/>
    <w:rsid w:val="220B7F0B"/>
    <w:rsid w:val="22194137"/>
    <w:rsid w:val="221D43D3"/>
    <w:rsid w:val="22294F01"/>
    <w:rsid w:val="22494289"/>
    <w:rsid w:val="224A0A33"/>
    <w:rsid w:val="224A458F"/>
    <w:rsid w:val="22582B2D"/>
    <w:rsid w:val="22597E38"/>
    <w:rsid w:val="229121BE"/>
    <w:rsid w:val="229E3DF3"/>
    <w:rsid w:val="22B251FD"/>
    <w:rsid w:val="22F559BC"/>
    <w:rsid w:val="22FB3BBE"/>
    <w:rsid w:val="230711A0"/>
    <w:rsid w:val="23264FFC"/>
    <w:rsid w:val="233323C8"/>
    <w:rsid w:val="2337403E"/>
    <w:rsid w:val="23455D6C"/>
    <w:rsid w:val="23857D3C"/>
    <w:rsid w:val="238E6718"/>
    <w:rsid w:val="23963D98"/>
    <w:rsid w:val="239A32F4"/>
    <w:rsid w:val="239D2DE4"/>
    <w:rsid w:val="23A75A11"/>
    <w:rsid w:val="23BA7BB3"/>
    <w:rsid w:val="23CD191B"/>
    <w:rsid w:val="23DE7C0A"/>
    <w:rsid w:val="23FB01DF"/>
    <w:rsid w:val="24134E54"/>
    <w:rsid w:val="24184152"/>
    <w:rsid w:val="242471EF"/>
    <w:rsid w:val="242E1C8E"/>
    <w:rsid w:val="2439557F"/>
    <w:rsid w:val="244B45EE"/>
    <w:rsid w:val="24575619"/>
    <w:rsid w:val="24877D1C"/>
    <w:rsid w:val="249E05DF"/>
    <w:rsid w:val="24C34ACD"/>
    <w:rsid w:val="24C77361"/>
    <w:rsid w:val="24E46F1D"/>
    <w:rsid w:val="24F46A34"/>
    <w:rsid w:val="251E1D03"/>
    <w:rsid w:val="252465B1"/>
    <w:rsid w:val="252C0F72"/>
    <w:rsid w:val="25332D89"/>
    <w:rsid w:val="25494FD2"/>
    <w:rsid w:val="25702512"/>
    <w:rsid w:val="25975FC6"/>
    <w:rsid w:val="25B64A05"/>
    <w:rsid w:val="25B763DF"/>
    <w:rsid w:val="25B91D0D"/>
    <w:rsid w:val="25F807A6"/>
    <w:rsid w:val="25FD30C6"/>
    <w:rsid w:val="260032D0"/>
    <w:rsid w:val="2604539D"/>
    <w:rsid w:val="260919DB"/>
    <w:rsid w:val="261A071C"/>
    <w:rsid w:val="261E020C"/>
    <w:rsid w:val="26340E99"/>
    <w:rsid w:val="263A2B6C"/>
    <w:rsid w:val="26BE554B"/>
    <w:rsid w:val="26EB0B2D"/>
    <w:rsid w:val="26EC20B9"/>
    <w:rsid w:val="26F947D6"/>
    <w:rsid w:val="274572A5"/>
    <w:rsid w:val="276460F3"/>
    <w:rsid w:val="27741A6F"/>
    <w:rsid w:val="27AC3146"/>
    <w:rsid w:val="27BF1C2D"/>
    <w:rsid w:val="27F136FF"/>
    <w:rsid w:val="27F37477"/>
    <w:rsid w:val="27F8431F"/>
    <w:rsid w:val="27F923F2"/>
    <w:rsid w:val="282822EF"/>
    <w:rsid w:val="28290009"/>
    <w:rsid w:val="2829235B"/>
    <w:rsid w:val="285B7EB8"/>
    <w:rsid w:val="28B0474F"/>
    <w:rsid w:val="28B5297E"/>
    <w:rsid w:val="28CD7CC8"/>
    <w:rsid w:val="28E02BA0"/>
    <w:rsid w:val="28F27AA8"/>
    <w:rsid w:val="2903193C"/>
    <w:rsid w:val="29051210"/>
    <w:rsid w:val="292518B2"/>
    <w:rsid w:val="294178A2"/>
    <w:rsid w:val="299971EA"/>
    <w:rsid w:val="29D11A3A"/>
    <w:rsid w:val="29DE779C"/>
    <w:rsid w:val="29F12700"/>
    <w:rsid w:val="2A17569E"/>
    <w:rsid w:val="2A206E0F"/>
    <w:rsid w:val="2A3A138D"/>
    <w:rsid w:val="2A3E529F"/>
    <w:rsid w:val="2A497822"/>
    <w:rsid w:val="2A4D7312"/>
    <w:rsid w:val="2AAF3B29"/>
    <w:rsid w:val="2AC80F6B"/>
    <w:rsid w:val="2ADF3CE2"/>
    <w:rsid w:val="2B28494B"/>
    <w:rsid w:val="2B650FCD"/>
    <w:rsid w:val="2B8549AF"/>
    <w:rsid w:val="2B8A00F2"/>
    <w:rsid w:val="2BBD3922"/>
    <w:rsid w:val="2BCE2F2E"/>
    <w:rsid w:val="2BCF61F7"/>
    <w:rsid w:val="2BEE68D3"/>
    <w:rsid w:val="2C1C51EE"/>
    <w:rsid w:val="2C1D2D14"/>
    <w:rsid w:val="2C5366DC"/>
    <w:rsid w:val="2C5865F5"/>
    <w:rsid w:val="2C956D4E"/>
    <w:rsid w:val="2CAB2A6F"/>
    <w:rsid w:val="2CB07E42"/>
    <w:rsid w:val="2D2F7082"/>
    <w:rsid w:val="2D483DC1"/>
    <w:rsid w:val="2D5068DE"/>
    <w:rsid w:val="2D7B22F0"/>
    <w:rsid w:val="2D9E1C33"/>
    <w:rsid w:val="2DDF4725"/>
    <w:rsid w:val="2E3422F8"/>
    <w:rsid w:val="2E385BE3"/>
    <w:rsid w:val="2E4918D3"/>
    <w:rsid w:val="2E555940"/>
    <w:rsid w:val="2EA54E4E"/>
    <w:rsid w:val="2EA555A0"/>
    <w:rsid w:val="2EC90F31"/>
    <w:rsid w:val="2EDA313F"/>
    <w:rsid w:val="2F590507"/>
    <w:rsid w:val="2F660650"/>
    <w:rsid w:val="2F6C3F73"/>
    <w:rsid w:val="2FB7522E"/>
    <w:rsid w:val="2FE51D9B"/>
    <w:rsid w:val="30275B53"/>
    <w:rsid w:val="302C1778"/>
    <w:rsid w:val="303B19BB"/>
    <w:rsid w:val="305D7B83"/>
    <w:rsid w:val="306A2902"/>
    <w:rsid w:val="30B005FB"/>
    <w:rsid w:val="30ED258F"/>
    <w:rsid w:val="30FE1366"/>
    <w:rsid w:val="310908AC"/>
    <w:rsid w:val="3126266B"/>
    <w:rsid w:val="315022FC"/>
    <w:rsid w:val="3150593A"/>
    <w:rsid w:val="31616649"/>
    <w:rsid w:val="317741A6"/>
    <w:rsid w:val="31A35A6A"/>
    <w:rsid w:val="31CA56EC"/>
    <w:rsid w:val="320368F1"/>
    <w:rsid w:val="321E3342"/>
    <w:rsid w:val="32280A05"/>
    <w:rsid w:val="32340DB8"/>
    <w:rsid w:val="324F79A0"/>
    <w:rsid w:val="326100FB"/>
    <w:rsid w:val="326B5DD0"/>
    <w:rsid w:val="327F2033"/>
    <w:rsid w:val="32BF4B25"/>
    <w:rsid w:val="32D54349"/>
    <w:rsid w:val="32E3352E"/>
    <w:rsid w:val="32FA3554"/>
    <w:rsid w:val="33896EE1"/>
    <w:rsid w:val="33AC7A28"/>
    <w:rsid w:val="34313801"/>
    <w:rsid w:val="34647EEB"/>
    <w:rsid w:val="3472239C"/>
    <w:rsid w:val="34735BC7"/>
    <w:rsid w:val="34866777"/>
    <w:rsid w:val="34A00986"/>
    <w:rsid w:val="34B306BA"/>
    <w:rsid w:val="34CB5A03"/>
    <w:rsid w:val="34D00573"/>
    <w:rsid w:val="34D04DC8"/>
    <w:rsid w:val="34DD1293"/>
    <w:rsid w:val="35180F8A"/>
    <w:rsid w:val="353F3CFB"/>
    <w:rsid w:val="35460218"/>
    <w:rsid w:val="3561073E"/>
    <w:rsid w:val="3566177A"/>
    <w:rsid w:val="35690D78"/>
    <w:rsid w:val="35B5220F"/>
    <w:rsid w:val="35C00117"/>
    <w:rsid w:val="35D11E47"/>
    <w:rsid w:val="35E87EEF"/>
    <w:rsid w:val="35ED19A9"/>
    <w:rsid w:val="35EF5721"/>
    <w:rsid w:val="35F25212"/>
    <w:rsid w:val="36003028"/>
    <w:rsid w:val="360867E3"/>
    <w:rsid w:val="362E04DD"/>
    <w:rsid w:val="36541A28"/>
    <w:rsid w:val="3657424C"/>
    <w:rsid w:val="36590DED"/>
    <w:rsid w:val="365E4655"/>
    <w:rsid w:val="366D4898"/>
    <w:rsid w:val="368F0CB2"/>
    <w:rsid w:val="36B64491"/>
    <w:rsid w:val="36B8375B"/>
    <w:rsid w:val="36D44CEA"/>
    <w:rsid w:val="372431A9"/>
    <w:rsid w:val="37272C99"/>
    <w:rsid w:val="372C59D4"/>
    <w:rsid w:val="376B7CA2"/>
    <w:rsid w:val="37854368"/>
    <w:rsid w:val="37AE3943"/>
    <w:rsid w:val="37C8622A"/>
    <w:rsid w:val="37CD55EE"/>
    <w:rsid w:val="37D746BF"/>
    <w:rsid w:val="37DB688A"/>
    <w:rsid w:val="38060B00"/>
    <w:rsid w:val="38084878"/>
    <w:rsid w:val="38367BBE"/>
    <w:rsid w:val="383F3550"/>
    <w:rsid w:val="386A72E1"/>
    <w:rsid w:val="38A345A1"/>
    <w:rsid w:val="38E124D9"/>
    <w:rsid w:val="38E27F47"/>
    <w:rsid w:val="38ED3A6E"/>
    <w:rsid w:val="38F848ED"/>
    <w:rsid w:val="390A4620"/>
    <w:rsid w:val="390C65EA"/>
    <w:rsid w:val="392A6A70"/>
    <w:rsid w:val="39406081"/>
    <w:rsid w:val="39423DBA"/>
    <w:rsid w:val="39463FFD"/>
    <w:rsid w:val="395F671A"/>
    <w:rsid w:val="39677848"/>
    <w:rsid w:val="396B0394"/>
    <w:rsid w:val="397E17F6"/>
    <w:rsid w:val="39B34CB8"/>
    <w:rsid w:val="39D44F57"/>
    <w:rsid w:val="39DA2245"/>
    <w:rsid w:val="39F257E0"/>
    <w:rsid w:val="3A2C7397"/>
    <w:rsid w:val="3A685AA2"/>
    <w:rsid w:val="3A797CAF"/>
    <w:rsid w:val="3AAC3669"/>
    <w:rsid w:val="3ABA0EA0"/>
    <w:rsid w:val="3ACB0956"/>
    <w:rsid w:val="3AD43138"/>
    <w:rsid w:val="3AE95CF2"/>
    <w:rsid w:val="3AFA683F"/>
    <w:rsid w:val="3AFC596C"/>
    <w:rsid w:val="3B0529DF"/>
    <w:rsid w:val="3B1F2193"/>
    <w:rsid w:val="3B3C51F8"/>
    <w:rsid w:val="3B6C30DA"/>
    <w:rsid w:val="3B6F3519"/>
    <w:rsid w:val="3B820DE6"/>
    <w:rsid w:val="3B926B05"/>
    <w:rsid w:val="3BAD1735"/>
    <w:rsid w:val="3C1B67FA"/>
    <w:rsid w:val="3C2D6FA3"/>
    <w:rsid w:val="3C43474B"/>
    <w:rsid w:val="3C7249B6"/>
    <w:rsid w:val="3CAB1B71"/>
    <w:rsid w:val="3CB42030"/>
    <w:rsid w:val="3CED380E"/>
    <w:rsid w:val="3D127F47"/>
    <w:rsid w:val="3D187093"/>
    <w:rsid w:val="3D250AC1"/>
    <w:rsid w:val="3D323D98"/>
    <w:rsid w:val="3D412BB2"/>
    <w:rsid w:val="3D4225DB"/>
    <w:rsid w:val="3D4F05DF"/>
    <w:rsid w:val="3D695DB9"/>
    <w:rsid w:val="3D714C6E"/>
    <w:rsid w:val="3D7824A0"/>
    <w:rsid w:val="3DA45043"/>
    <w:rsid w:val="3DDF4B52"/>
    <w:rsid w:val="3DE85135"/>
    <w:rsid w:val="3E0A4EFC"/>
    <w:rsid w:val="3E23240C"/>
    <w:rsid w:val="3E282408"/>
    <w:rsid w:val="3E295549"/>
    <w:rsid w:val="3E500D27"/>
    <w:rsid w:val="3E59150E"/>
    <w:rsid w:val="3E9450B8"/>
    <w:rsid w:val="3EAB2402"/>
    <w:rsid w:val="3ECA06FE"/>
    <w:rsid w:val="3EE37DED"/>
    <w:rsid w:val="3EED2ADA"/>
    <w:rsid w:val="3F040003"/>
    <w:rsid w:val="3F12247E"/>
    <w:rsid w:val="3F147E70"/>
    <w:rsid w:val="3F205FF0"/>
    <w:rsid w:val="3F316DAB"/>
    <w:rsid w:val="3F32667F"/>
    <w:rsid w:val="3F422D66"/>
    <w:rsid w:val="3F516B05"/>
    <w:rsid w:val="3F7B1DD4"/>
    <w:rsid w:val="3F811172"/>
    <w:rsid w:val="3F87618A"/>
    <w:rsid w:val="3FB05F21"/>
    <w:rsid w:val="3FC96FE3"/>
    <w:rsid w:val="3FD968E4"/>
    <w:rsid w:val="3FFF2A05"/>
    <w:rsid w:val="40152228"/>
    <w:rsid w:val="401C35B7"/>
    <w:rsid w:val="40261ECE"/>
    <w:rsid w:val="40473772"/>
    <w:rsid w:val="40646AC4"/>
    <w:rsid w:val="40661542"/>
    <w:rsid w:val="407927B7"/>
    <w:rsid w:val="40A1586A"/>
    <w:rsid w:val="40BC4452"/>
    <w:rsid w:val="40DB5220"/>
    <w:rsid w:val="40F0790F"/>
    <w:rsid w:val="41087C17"/>
    <w:rsid w:val="410B3B15"/>
    <w:rsid w:val="411E510D"/>
    <w:rsid w:val="41346A5C"/>
    <w:rsid w:val="414548A4"/>
    <w:rsid w:val="415E73D5"/>
    <w:rsid w:val="41A964D6"/>
    <w:rsid w:val="41AC096A"/>
    <w:rsid w:val="41CA2B9F"/>
    <w:rsid w:val="41CF6407"/>
    <w:rsid w:val="41F8770C"/>
    <w:rsid w:val="41F9319D"/>
    <w:rsid w:val="4221165B"/>
    <w:rsid w:val="42393818"/>
    <w:rsid w:val="42621029"/>
    <w:rsid w:val="426D634C"/>
    <w:rsid w:val="42A94EAA"/>
    <w:rsid w:val="42F26851"/>
    <w:rsid w:val="42FA567F"/>
    <w:rsid w:val="43244357"/>
    <w:rsid w:val="433504B9"/>
    <w:rsid w:val="43635059"/>
    <w:rsid w:val="43727992"/>
    <w:rsid w:val="439310F4"/>
    <w:rsid w:val="43A833B4"/>
    <w:rsid w:val="43AA2C88"/>
    <w:rsid w:val="43C55EF7"/>
    <w:rsid w:val="43CD56C4"/>
    <w:rsid w:val="444A13EE"/>
    <w:rsid w:val="44627A06"/>
    <w:rsid w:val="44821C78"/>
    <w:rsid w:val="44824BED"/>
    <w:rsid w:val="44891EC3"/>
    <w:rsid w:val="449000D0"/>
    <w:rsid w:val="44E81CBA"/>
    <w:rsid w:val="450E3FAF"/>
    <w:rsid w:val="451A208F"/>
    <w:rsid w:val="453749EF"/>
    <w:rsid w:val="457C68A6"/>
    <w:rsid w:val="45890DEF"/>
    <w:rsid w:val="459868AA"/>
    <w:rsid w:val="459C2AA4"/>
    <w:rsid w:val="45A56679"/>
    <w:rsid w:val="45B222C8"/>
    <w:rsid w:val="45BA20EB"/>
    <w:rsid w:val="46003917"/>
    <w:rsid w:val="460A5C60"/>
    <w:rsid w:val="460D4452"/>
    <w:rsid w:val="462E1484"/>
    <w:rsid w:val="468971C9"/>
    <w:rsid w:val="46A2233C"/>
    <w:rsid w:val="46AC3949"/>
    <w:rsid w:val="46B9730C"/>
    <w:rsid w:val="46DF533E"/>
    <w:rsid w:val="46ED1809"/>
    <w:rsid w:val="46F24DE9"/>
    <w:rsid w:val="46F34946"/>
    <w:rsid w:val="46FB73D6"/>
    <w:rsid w:val="471F1BDF"/>
    <w:rsid w:val="47482D7B"/>
    <w:rsid w:val="474D253A"/>
    <w:rsid w:val="47592C3D"/>
    <w:rsid w:val="4770243A"/>
    <w:rsid w:val="4779309D"/>
    <w:rsid w:val="47815A37"/>
    <w:rsid w:val="47983DB5"/>
    <w:rsid w:val="479E2B03"/>
    <w:rsid w:val="47C65E4E"/>
    <w:rsid w:val="484511D1"/>
    <w:rsid w:val="48580F04"/>
    <w:rsid w:val="487806ED"/>
    <w:rsid w:val="487970CD"/>
    <w:rsid w:val="487974BD"/>
    <w:rsid w:val="48873059"/>
    <w:rsid w:val="48873598"/>
    <w:rsid w:val="489B5295"/>
    <w:rsid w:val="48A44C18"/>
    <w:rsid w:val="48B65B6A"/>
    <w:rsid w:val="48DA400F"/>
    <w:rsid w:val="490A774F"/>
    <w:rsid w:val="4953791E"/>
    <w:rsid w:val="49573690"/>
    <w:rsid w:val="498B355B"/>
    <w:rsid w:val="49A60395"/>
    <w:rsid w:val="49BC0999"/>
    <w:rsid w:val="49C600F0"/>
    <w:rsid w:val="49DF038B"/>
    <w:rsid w:val="49E30CA1"/>
    <w:rsid w:val="49EA0282"/>
    <w:rsid w:val="4A0D3F70"/>
    <w:rsid w:val="4A1A5D92"/>
    <w:rsid w:val="4A253068"/>
    <w:rsid w:val="4A3E05CE"/>
    <w:rsid w:val="4A6804DD"/>
    <w:rsid w:val="4A712751"/>
    <w:rsid w:val="4A8D3C7A"/>
    <w:rsid w:val="4A906A36"/>
    <w:rsid w:val="4ACA41B5"/>
    <w:rsid w:val="4ADF189B"/>
    <w:rsid w:val="4AE922E8"/>
    <w:rsid w:val="4B187071"/>
    <w:rsid w:val="4B3D204D"/>
    <w:rsid w:val="4B5A4F93"/>
    <w:rsid w:val="4B993D49"/>
    <w:rsid w:val="4BCE071A"/>
    <w:rsid w:val="4BF278C2"/>
    <w:rsid w:val="4BF70A34"/>
    <w:rsid w:val="4C43011D"/>
    <w:rsid w:val="4C435427"/>
    <w:rsid w:val="4C584642"/>
    <w:rsid w:val="4C893887"/>
    <w:rsid w:val="4C9316DD"/>
    <w:rsid w:val="4CB60120"/>
    <w:rsid w:val="4CCB417C"/>
    <w:rsid w:val="4CED3574"/>
    <w:rsid w:val="4CEF634E"/>
    <w:rsid w:val="4CF16ADC"/>
    <w:rsid w:val="4CFE5DF2"/>
    <w:rsid w:val="4D341814"/>
    <w:rsid w:val="4D52686A"/>
    <w:rsid w:val="4D7F7219"/>
    <w:rsid w:val="4D864E9C"/>
    <w:rsid w:val="4D926C66"/>
    <w:rsid w:val="4DC767A4"/>
    <w:rsid w:val="4DDF79D2"/>
    <w:rsid w:val="4DEB45C9"/>
    <w:rsid w:val="4E4A12EF"/>
    <w:rsid w:val="4E4E32E5"/>
    <w:rsid w:val="4E5F7457"/>
    <w:rsid w:val="4E8651D3"/>
    <w:rsid w:val="4E8A12D5"/>
    <w:rsid w:val="4EB81818"/>
    <w:rsid w:val="4EB86BA1"/>
    <w:rsid w:val="4EEA2AD2"/>
    <w:rsid w:val="4F0C2A48"/>
    <w:rsid w:val="4F1653B7"/>
    <w:rsid w:val="4F196F13"/>
    <w:rsid w:val="4F1D6A04"/>
    <w:rsid w:val="4F3A525C"/>
    <w:rsid w:val="4F4B17C3"/>
    <w:rsid w:val="4F764366"/>
    <w:rsid w:val="4F9C19A5"/>
    <w:rsid w:val="4FAE1D52"/>
    <w:rsid w:val="4FCD5732"/>
    <w:rsid w:val="4FD82B19"/>
    <w:rsid w:val="4FD86DCF"/>
    <w:rsid w:val="4FF444BF"/>
    <w:rsid w:val="502C022B"/>
    <w:rsid w:val="505452FD"/>
    <w:rsid w:val="50591A11"/>
    <w:rsid w:val="50591CBD"/>
    <w:rsid w:val="50812FC2"/>
    <w:rsid w:val="50BF6BCF"/>
    <w:rsid w:val="50ED0658"/>
    <w:rsid w:val="50F46917"/>
    <w:rsid w:val="513E0EB3"/>
    <w:rsid w:val="51477D68"/>
    <w:rsid w:val="51516E38"/>
    <w:rsid w:val="51917235"/>
    <w:rsid w:val="5196484B"/>
    <w:rsid w:val="51A60F32"/>
    <w:rsid w:val="51A81078"/>
    <w:rsid w:val="51AC05A1"/>
    <w:rsid w:val="51BC0756"/>
    <w:rsid w:val="51D51818"/>
    <w:rsid w:val="51F23572"/>
    <w:rsid w:val="51FC4CF8"/>
    <w:rsid w:val="520078CE"/>
    <w:rsid w:val="52021EE1"/>
    <w:rsid w:val="52670B45"/>
    <w:rsid w:val="52672647"/>
    <w:rsid w:val="5277467D"/>
    <w:rsid w:val="527F1783"/>
    <w:rsid w:val="52B56E98"/>
    <w:rsid w:val="52EB46ED"/>
    <w:rsid w:val="52F92B19"/>
    <w:rsid w:val="52FE4D9E"/>
    <w:rsid w:val="530F0C7B"/>
    <w:rsid w:val="531620E8"/>
    <w:rsid w:val="53360094"/>
    <w:rsid w:val="533B38FC"/>
    <w:rsid w:val="534702D4"/>
    <w:rsid w:val="537249AA"/>
    <w:rsid w:val="537D1298"/>
    <w:rsid w:val="538E6122"/>
    <w:rsid w:val="53A21BCD"/>
    <w:rsid w:val="53B75E2A"/>
    <w:rsid w:val="53D224B3"/>
    <w:rsid w:val="53DD0E57"/>
    <w:rsid w:val="53E71EB4"/>
    <w:rsid w:val="53FA7313"/>
    <w:rsid w:val="5402266C"/>
    <w:rsid w:val="540930DF"/>
    <w:rsid w:val="542A4092"/>
    <w:rsid w:val="54670DD1"/>
    <w:rsid w:val="546862F7"/>
    <w:rsid w:val="547A0454"/>
    <w:rsid w:val="54A23856"/>
    <w:rsid w:val="54C33BA9"/>
    <w:rsid w:val="54CF254E"/>
    <w:rsid w:val="54EB4EAE"/>
    <w:rsid w:val="54F14C2A"/>
    <w:rsid w:val="54F857A8"/>
    <w:rsid w:val="550B72FE"/>
    <w:rsid w:val="55326F81"/>
    <w:rsid w:val="55377ED5"/>
    <w:rsid w:val="553C6E1A"/>
    <w:rsid w:val="554658F9"/>
    <w:rsid w:val="554F7B33"/>
    <w:rsid w:val="5563713A"/>
    <w:rsid w:val="5564204C"/>
    <w:rsid w:val="556A04C9"/>
    <w:rsid w:val="556A54B5"/>
    <w:rsid w:val="559D39CA"/>
    <w:rsid w:val="55B160F8"/>
    <w:rsid w:val="55B47996"/>
    <w:rsid w:val="55CD6537"/>
    <w:rsid w:val="55E02539"/>
    <w:rsid w:val="55F52488"/>
    <w:rsid w:val="561A4302"/>
    <w:rsid w:val="5628517A"/>
    <w:rsid w:val="56551179"/>
    <w:rsid w:val="569103B2"/>
    <w:rsid w:val="56B91708"/>
    <w:rsid w:val="56D50792"/>
    <w:rsid w:val="56E149AB"/>
    <w:rsid w:val="56E85B49"/>
    <w:rsid w:val="571E6067"/>
    <w:rsid w:val="57266671"/>
    <w:rsid w:val="57340D8E"/>
    <w:rsid w:val="575C5ED5"/>
    <w:rsid w:val="577B221E"/>
    <w:rsid w:val="57844444"/>
    <w:rsid w:val="57931F59"/>
    <w:rsid w:val="57C87729"/>
    <w:rsid w:val="57E90877"/>
    <w:rsid w:val="57F329F7"/>
    <w:rsid w:val="58022E3A"/>
    <w:rsid w:val="580B5F93"/>
    <w:rsid w:val="581F3D68"/>
    <w:rsid w:val="58257AFE"/>
    <w:rsid w:val="583848AE"/>
    <w:rsid w:val="58403763"/>
    <w:rsid w:val="585F008D"/>
    <w:rsid w:val="587753D7"/>
    <w:rsid w:val="5889510A"/>
    <w:rsid w:val="589D2963"/>
    <w:rsid w:val="58C46142"/>
    <w:rsid w:val="58D375D1"/>
    <w:rsid w:val="58DB3E54"/>
    <w:rsid w:val="591E3AA4"/>
    <w:rsid w:val="59286AAB"/>
    <w:rsid w:val="593D4A70"/>
    <w:rsid w:val="5966544B"/>
    <w:rsid w:val="599C2C1B"/>
    <w:rsid w:val="59C12681"/>
    <w:rsid w:val="59C36DC8"/>
    <w:rsid w:val="5AA601F5"/>
    <w:rsid w:val="5AB51CCA"/>
    <w:rsid w:val="5ABC17C7"/>
    <w:rsid w:val="5AE1122D"/>
    <w:rsid w:val="5B092532"/>
    <w:rsid w:val="5B0944B1"/>
    <w:rsid w:val="5B0B44FC"/>
    <w:rsid w:val="5B1A473F"/>
    <w:rsid w:val="5B565809"/>
    <w:rsid w:val="5B953DC6"/>
    <w:rsid w:val="5B975D90"/>
    <w:rsid w:val="5BAD1F08"/>
    <w:rsid w:val="5BCF552A"/>
    <w:rsid w:val="5BD82630"/>
    <w:rsid w:val="5C4D4C1F"/>
    <w:rsid w:val="5C6C5EDB"/>
    <w:rsid w:val="5C8F7739"/>
    <w:rsid w:val="5C966047"/>
    <w:rsid w:val="5CD8040E"/>
    <w:rsid w:val="5CD83AFE"/>
    <w:rsid w:val="5D041203"/>
    <w:rsid w:val="5D0F70BD"/>
    <w:rsid w:val="5D2B49E2"/>
    <w:rsid w:val="5D557CB0"/>
    <w:rsid w:val="5D8576B4"/>
    <w:rsid w:val="5DA56542"/>
    <w:rsid w:val="5DF474C9"/>
    <w:rsid w:val="5E182870"/>
    <w:rsid w:val="5E2D4789"/>
    <w:rsid w:val="5E394395"/>
    <w:rsid w:val="5E7C6E35"/>
    <w:rsid w:val="5E7D4589"/>
    <w:rsid w:val="5E921AF9"/>
    <w:rsid w:val="5EA547B9"/>
    <w:rsid w:val="5EAC0BFA"/>
    <w:rsid w:val="5F0E6369"/>
    <w:rsid w:val="5F1F0576"/>
    <w:rsid w:val="5F3F29C6"/>
    <w:rsid w:val="5F48187B"/>
    <w:rsid w:val="5F4F5898"/>
    <w:rsid w:val="5F506981"/>
    <w:rsid w:val="5F6B5569"/>
    <w:rsid w:val="5F913938"/>
    <w:rsid w:val="5FBE036F"/>
    <w:rsid w:val="5FCA6734"/>
    <w:rsid w:val="5FCD3B2E"/>
    <w:rsid w:val="5FE23C7A"/>
    <w:rsid w:val="6008100A"/>
    <w:rsid w:val="6023109F"/>
    <w:rsid w:val="60365E9C"/>
    <w:rsid w:val="604F6C39"/>
    <w:rsid w:val="60600615"/>
    <w:rsid w:val="60805044"/>
    <w:rsid w:val="6082281D"/>
    <w:rsid w:val="608C39E9"/>
    <w:rsid w:val="60934D78"/>
    <w:rsid w:val="60997EB4"/>
    <w:rsid w:val="60A70823"/>
    <w:rsid w:val="60C40BBA"/>
    <w:rsid w:val="610B7004"/>
    <w:rsid w:val="6118702B"/>
    <w:rsid w:val="61273712"/>
    <w:rsid w:val="61502609"/>
    <w:rsid w:val="61576B76"/>
    <w:rsid w:val="616F46AA"/>
    <w:rsid w:val="617F52FC"/>
    <w:rsid w:val="6190638E"/>
    <w:rsid w:val="61AD00BB"/>
    <w:rsid w:val="61B53514"/>
    <w:rsid w:val="61CD250B"/>
    <w:rsid w:val="61CD6067"/>
    <w:rsid w:val="61EB0BE3"/>
    <w:rsid w:val="61FF3A5D"/>
    <w:rsid w:val="621203C7"/>
    <w:rsid w:val="62143C96"/>
    <w:rsid w:val="622C3AA5"/>
    <w:rsid w:val="626A1B08"/>
    <w:rsid w:val="626F4BCE"/>
    <w:rsid w:val="62C3746A"/>
    <w:rsid w:val="62E35F80"/>
    <w:rsid w:val="62EF200D"/>
    <w:rsid w:val="63185A08"/>
    <w:rsid w:val="632B573B"/>
    <w:rsid w:val="63304B00"/>
    <w:rsid w:val="63343EC4"/>
    <w:rsid w:val="635053A5"/>
    <w:rsid w:val="635307EE"/>
    <w:rsid w:val="63660521"/>
    <w:rsid w:val="636A11EB"/>
    <w:rsid w:val="63741A96"/>
    <w:rsid w:val="6390559E"/>
    <w:rsid w:val="639929F4"/>
    <w:rsid w:val="63BA4F4D"/>
    <w:rsid w:val="63C9661D"/>
    <w:rsid w:val="63FA6EBC"/>
    <w:rsid w:val="6408782B"/>
    <w:rsid w:val="643F0D73"/>
    <w:rsid w:val="64456AC2"/>
    <w:rsid w:val="64460353"/>
    <w:rsid w:val="644A7E43"/>
    <w:rsid w:val="64A35E90"/>
    <w:rsid w:val="64BB664B"/>
    <w:rsid w:val="64BD6867"/>
    <w:rsid w:val="650C50F9"/>
    <w:rsid w:val="65102E3B"/>
    <w:rsid w:val="651C659A"/>
    <w:rsid w:val="652D286B"/>
    <w:rsid w:val="6545060B"/>
    <w:rsid w:val="654E3963"/>
    <w:rsid w:val="65503BA1"/>
    <w:rsid w:val="655B1BDC"/>
    <w:rsid w:val="657D0041"/>
    <w:rsid w:val="657F7D49"/>
    <w:rsid w:val="658B7132"/>
    <w:rsid w:val="65C74ED2"/>
    <w:rsid w:val="65F51F15"/>
    <w:rsid w:val="65FA13F5"/>
    <w:rsid w:val="66154481"/>
    <w:rsid w:val="66180D5A"/>
    <w:rsid w:val="663568D1"/>
    <w:rsid w:val="669B6734"/>
    <w:rsid w:val="66E741AC"/>
    <w:rsid w:val="67141E47"/>
    <w:rsid w:val="673646FA"/>
    <w:rsid w:val="673F2A4E"/>
    <w:rsid w:val="676F196F"/>
    <w:rsid w:val="677551D7"/>
    <w:rsid w:val="67B370E8"/>
    <w:rsid w:val="67C41CBB"/>
    <w:rsid w:val="67C71FBE"/>
    <w:rsid w:val="67CE2B39"/>
    <w:rsid w:val="67F73530"/>
    <w:rsid w:val="682D7860"/>
    <w:rsid w:val="68494257"/>
    <w:rsid w:val="684D3A5E"/>
    <w:rsid w:val="685079F2"/>
    <w:rsid w:val="685A261F"/>
    <w:rsid w:val="68795167"/>
    <w:rsid w:val="688850C2"/>
    <w:rsid w:val="68A85138"/>
    <w:rsid w:val="68B43ADD"/>
    <w:rsid w:val="68B72779"/>
    <w:rsid w:val="68B7537B"/>
    <w:rsid w:val="68BA4E6C"/>
    <w:rsid w:val="69036813"/>
    <w:rsid w:val="699658D9"/>
    <w:rsid w:val="69967687"/>
    <w:rsid w:val="69992806"/>
    <w:rsid w:val="69A41FF3"/>
    <w:rsid w:val="69B61AD7"/>
    <w:rsid w:val="69C04704"/>
    <w:rsid w:val="69C96ED7"/>
    <w:rsid w:val="6A1862EE"/>
    <w:rsid w:val="6A390EBB"/>
    <w:rsid w:val="6A4415E9"/>
    <w:rsid w:val="6A51704A"/>
    <w:rsid w:val="6AA87672"/>
    <w:rsid w:val="6AB57FE0"/>
    <w:rsid w:val="6AE663EC"/>
    <w:rsid w:val="6AF46BC9"/>
    <w:rsid w:val="6B173B94"/>
    <w:rsid w:val="6B1B42E7"/>
    <w:rsid w:val="6B1B7E43"/>
    <w:rsid w:val="6B596BBE"/>
    <w:rsid w:val="6B715928"/>
    <w:rsid w:val="6B7D342B"/>
    <w:rsid w:val="6B98635F"/>
    <w:rsid w:val="6B9F6CC6"/>
    <w:rsid w:val="6BFF59B7"/>
    <w:rsid w:val="6C0E79A8"/>
    <w:rsid w:val="6C1B3E73"/>
    <w:rsid w:val="6C2B67AC"/>
    <w:rsid w:val="6C4C0AD1"/>
    <w:rsid w:val="6C540873"/>
    <w:rsid w:val="6C577F11"/>
    <w:rsid w:val="6C59019B"/>
    <w:rsid w:val="6C94077E"/>
    <w:rsid w:val="6C953C26"/>
    <w:rsid w:val="6C9E6F7E"/>
    <w:rsid w:val="6CD61F5A"/>
    <w:rsid w:val="6CF44DF0"/>
    <w:rsid w:val="6D1F04CD"/>
    <w:rsid w:val="6D205BE5"/>
    <w:rsid w:val="6D3451EC"/>
    <w:rsid w:val="6D3B2A1F"/>
    <w:rsid w:val="6D617FAC"/>
    <w:rsid w:val="6D6C2BD8"/>
    <w:rsid w:val="6D7E290C"/>
    <w:rsid w:val="6D965EA7"/>
    <w:rsid w:val="6DDB28C7"/>
    <w:rsid w:val="6E2E31A3"/>
    <w:rsid w:val="6E3561DC"/>
    <w:rsid w:val="6E4771A1"/>
    <w:rsid w:val="6E486E44"/>
    <w:rsid w:val="6E5A0105"/>
    <w:rsid w:val="6E722EE0"/>
    <w:rsid w:val="6E761835"/>
    <w:rsid w:val="6E775CD9"/>
    <w:rsid w:val="6E7F4B8D"/>
    <w:rsid w:val="6E8A78A1"/>
    <w:rsid w:val="6E9543B1"/>
    <w:rsid w:val="6EC802E2"/>
    <w:rsid w:val="6ED72A64"/>
    <w:rsid w:val="6EF96288"/>
    <w:rsid w:val="6F0F4163"/>
    <w:rsid w:val="6F1E59CB"/>
    <w:rsid w:val="6F3732B4"/>
    <w:rsid w:val="6F4F7F03"/>
    <w:rsid w:val="6F946416"/>
    <w:rsid w:val="6FB148BF"/>
    <w:rsid w:val="6FBC771B"/>
    <w:rsid w:val="6FD84C0A"/>
    <w:rsid w:val="6FE32EFA"/>
    <w:rsid w:val="70002BEA"/>
    <w:rsid w:val="70335C2F"/>
    <w:rsid w:val="70577DED"/>
    <w:rsid w:val="7064403B"/>
    <w:rsid w:val="708B2504"/>
    <w:rsid w:val="70907395"/>
    <w:rsid w:val="70A72179"/>
    <w:rsid w:val="70B07280"/>
    <w:rsid w:val="70B4172A"/>
    <w:rsid w:val="70C64CF5"/>
    <w:rsid w:val="70E039B2"/>
    <w:rsid w:val="70F43CF9"/>
    <w:rsid w:val="71203519"/>
    <w:rsid w:val="712801C1"/>
    <w:rsid w:val="717835AD"/>
    <w:rsid w:val="717B5AE0"/>
    <w:rsid w:val="717C1858"/>
    <w:rsid w:val="71924BE0"/>
    <w:rsid w:val="71A02CE4"/>
    <w:rsid w:val="71C57847"/>
    <w:rsid w:val="71CC00E9"/>
    <w:rsid w:val="71E73175"/>
    <w:rsid w:val="72402885"/>
    <w:rsid w:val="725B146D"/>
    <w:rsid w:val="725C3A15"/>
    <w:rsid w:val="725D51E5"/>
    <w:rsid w:val="727662A7"/>
    <w:rsid w:val="72916E0E"/>
    <w:rsid w:val="729D074E"/>
    <w:rsid w:val="72A5525B"/>
    <w:rsid w:val="72B172DF"/>
    <w:rsid w:val="72F20C28"/>
    <w:rsid w:val="731E062D"/>
    <w:rsid w:val="734E4B2E"/>
    <w:rsid w:val="73522870"/>
    <w:rsid w:val="73645911"/>
    <w:rsid w:val="736D00A0"/>
    <w:rsid w:val="73832A2A"/>
    <w:rsid w:val="738549F4"/>
    <w:rsid w:val="738A19B2"/>
    <w:rsid w:val="738B18DE"/>
    <w:rsid w:val="73AD5CF9"/>
    <w:rsid w:val="73C67996"/>
    <w:rsid w:val="73D5595A"/>
    <w:rsid w:val="73DA51B7"/>
    <w:rsid w:val="73E53BA1"/>
    <w:rsid w:val="73F2112A"/>
    <w:rsid w:val="74561EEC"/>
    <w:rsid w:val="74714F78"/>
    <w:rsid w:val="74844939"/>
    <w:rsid w:val="74BB2697"/>
    <w:rsid w:val="752E07F8"/>
    <w:rsid w:val="75387844"/>
    <w:rsid w:val="754B7577"/>
    <w:rsid w:val="75761EE2"/>
    <w:rsid w:val="759119BF"/>
    <w:rsid w:val="75BE5F9B"/>
    <w:rsid w:val="75DB4D9F"/>
    <w:rsid w:val="7630676D"/>
    <w:rsid w:val="763C3364"/>
    <w:rsid w:val="76592168"/>
    <w:rsid w:val="766F0237"/>
    <w:rsid w:val="7678323B"/>
    <w:rsid w:val="7683529D"/>
    <w:rsid w:val="76967C55"/>
    <w:rsid w:val="76C27D0D"/>
    <w:rsid w:val="76CF5F86"/>
    <w:rsid w:val="76F65C09"/>
    <w:rsid w:val="76F97376"/>
    <w:rsid w:val="7714428A"/>
    <w:rsid w:val="771948AC"/>
    <w:rsid w:val="77672662"/>
    <w:rsid w:val="77881F27"/>
    <w:rsid w:val="778925D9"/>
    <w:rsid w:val="778D031B"/>
    <w:rsid w:val="779416A9"/>
    <w:rsid w:val="77996CC0"/>
    <w:rsid w:val="779A52A2"/>
    <w:rsid w:val="77A6318B"/>
    <w:rsid w:val="77BA2005"/>
    <w:rsid w:val="77CE623E"/>
    <w:rsid w:val="77F959B0"/>
    <w:rsid w:val="77FA5285"/>
    <w:rsid w:val="7816466E"/>
    <w:rsid w:val="782D2714"/>
    <w:rsid w:val="78340796"/>
    <w:rsid w:val="78401A16"/>
    <w:rsid w:val="787121E4"/>
    <w:rsid w:val="787F62FE"/>
    <w:rsid w:val="78B75077"/>
    <w:rsid w:val="78D15FE5"/>
    <w:rsid w:val="78D86151"/>
    <w:rsid w:val="78DB3981"/>
    <w:rsid w:val="78F46178"/>
    <w:rsid w:val="79000B3E"/>
    <w:rsid w:val="79134850"/>
    <w:rsid w:val="79146DDD"/>
    <w:rsid w:val="791660EE"/>
    <w:rsid w:val="793874E6"/>
    <w:rsid w:val="79425135"/>
    <w:rsid w:val="794959AA"/>
    <w:rsid w:val="79607369"/>
    <w:rsid w:val="79703C66"/>
    <w:rsid w:val="797B41EF"/>
    <w:rsid w:val="799275A9"/>
    <w:rsid w:val="79955868"/>
    <w:rsid w:val="79A23075"/>
    <w:rsid w:val="79BB61F3"/>
    <w:rsid w:val="79BD47BC"/>
    <w:rsid w:val="79CB7E64"/>
    <w:rsid w:val="79D20267"/>
    <w:rsid w:val="79D32197"/>
    <w:rsid w:val="79DA35C0"/>
    <w:rsid w:val="7A1061E5"/>
    <w:rsid w:val="7A17211E"/>
    <w:rsid w:val="7A2465E9"/>
    <w:rsid w:val="7A6335B5"/>
    <w:rsid w:val="7AB45BBF"/>
    <w:rsid w:val="7AD87AFF"/>
    <w:rsid w:val="7ADD5115"/>
    <w:rsid w:val="7B0238C7"/>
    <w:rsid w:val="7B025978"/>
    <w:rsid w:val="7B162191"/>
    <w:rsid w:val="7B1D19B6"/>
    <w:rsid w:val="7B4926BA"/>
    <w:rsid w:val="7B4C1717"/>
    <w:rsid w:val="7B842755"/>
    <w:rsid w:val="7B9B180B"/>
    <w:rsid w:val="7BB35E76"/>
    <w:rsid w:val="7BB87930"/>
    <w:rsid w:val="7C004D58"/>
    <w:rsid w:val="7C044924"/>
    <w:rsid w:val="7C174657"/>
    <w:rsid w:val="7C5B6AE0"/>
    <w:rsid w:val="7CAC5DF8"/>
    <w:rsid w:val="7CBB50AC"/>
    <w:rsid w:val="7CD97B5E"/>
    <w:rsid w:val="7CDD0656"/>
    <w:rsid w:val="7CE45300"/>
    <w:rsid w:val="7CEC5AE4"/>
    <w:rsid w:val="7CFE7E18"/>
    <w:rsid w:val="7D07647A"/>
    <w:rsid w:val="7D2C5EE0"/>
    <w:rsid w:val="7D58696F"/>
    <w:rsid w:val="7D6B49B2"/>
    <w:rsid w:val="7D7D5879"/>
    <w:rsid w:val="7D827CD7"/>
    <w:rsid w:val="7D9F4904"/>
    <w:rsid w:val="7D9F4FAC"/>
    <w:rsid w:val="7DB36601"/>
    <w:rsid w:val="7DB667C5"/>
    <w:rsid w:val="7DBA7990"/>
    <w:rsid w:val="7DBD6D0B"/>
    <w:rsid w:val="7DC223A1"/>
    <w:rsid w:val="7DD70388"/>
    <w:rsid w:val="7DD71CA3"/>
    <w:rsid w:val="7DE92F32"/>
    <w:rsid w:val="7E1F3C97"/>
    <w:rsid w:val="7E280EC9"/>
    <w:rsid w:val="7E4B683A"/>
    <w:rsid w:val="7E562ED8"/>
    <w:rsid w:val="7E633B84"/>
    <w:rsid w:val="7E854717"/>
    <w:rsid w:val="7E942682"/>
    <w:rsid w:val="7EF263D7"/>
    <w:rsid w:val="7F0013D2"/>
    <w:rsid w:val="7F0470F9"/>
    <w:rsid w:val="7F1255AA"/>
    <w:rsid w:val="7F2B2374"/>
    <w:rsid w:val="7F503742"/>
    <w:rsid w:val="7F5434CC"/>
    <w:rsid w:val="7F607B23"/>
    <w:rsid w:val="7F742095"/>
    <w:rsid w:val="7F9703BE"/>
    <w:rsid w:val="7F976B9D"/>
    <w:rsid w:val="7FA73F44"/>
    <w:rsid w:val="7FCB47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760" w:firstLineChars="200"/>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qFormat/>
    <w:uiPriority w:val="0"/>
    <w:pPr>
      <w:spacing w:beforeAutospacing="0" w:afterAutospacing="0" w:line="560" w:lineRule="exact"/>
      <w:ind w:firstLine="760" w:firstLineChars="200"/>
      <w:jc w:val="both"/>
      <w:outlineLvl w:val="0"/>
    </w:pPr>
    <w:rPr>
      <w:rFonts w:hint="eastAsia" w:eastAsia="黑体" w:cs="黑体"/>
      <w:kern w:val="44"/>
      <w:lang w:bidi="ar"/>
    </w:rPr>
  </w:style>
  <w:style w:type="paragraph" w:styleId="3">
    <w:name w:val="heading 2"/>
    <w:basedOn w:val="4"/>
    <w:next w:val="1"/>
    <w:link w:val="27"/>
    <w:unhideWhenUsed/>
    <w:qFormat/>
    <w:uiPriority w:val="0"/>
    <w:pPr>
      <w:keepNext/>
      <w:keepLines/>
      <w:spacing w:beforeLines="0" w:beforeAutospacing="0" w:afterLines="0" w:afterAutospacing="0" w:line="560" w:lineRule="exact"/>
      <w:ind w:firstLine="760" w:firstLineChars="200"/>
      <w:outlineLvl w:val="1"/>
    </w:pPr>
    <w:rPr>
      <w:rFonts w:eastAsia="楷体_GB2312" w:cs="楷体_GB2312"/>
      <w:b/>
    </w:rPr>
  </w:style>
  <w:style w:type="paragraph" w:styleId="5">
    <w:name w:val="heading 3"/>
    <w:basedOn w:val="1"/>
    <w:next w:val="1"/>
    <w:unhideWhenUsed/>
    <w:qFormat/>
    <w:uiPriority w:val="0"/>
    <w:pPr>
      <w:keepNext/>
      <w:keepLines/>
      <w:spacing w:beforeLines="0" w:beforeAutospacing="0" w:afterLines="0" w:afterAutospacing="0" w:line="560" w:lineRule="exact"/>
      <w:ind w:firstLine="760" w:firstLineChars="200"/>
      <w:outlineLvl w:val="2"/>
    </w:pPr>
    <w:rPr>
      <w:b/>
    </w:rPr>
  </w:style>
  <w:style w:type="paragraph" w:styleId="6">
    <w:name w:val="heading 4"/>
    <w:basedOn w:val="7"/>
    <w:next w:val="1"/>
    <w:unhideWhenUsed/>
    <w:qFormat/>
    <w:uiPriority w:val="0"/>
    <w:pPr>
      <w:keepNext/>
      <w:keepLines/>
      <w:spacing w:beforeLines="0" w:afterLines="0"/>
      <w:ind w:firstLine="0" w:firstLineChars="0"/>
      <w:jc w:val="center"/>
      <w:outlineLvl w:val="3"/>
    </w:pPr>
    <w:rPr>
      <w:rFonts w:eastAsia="宋体"/>
      <w:sz w:val="28"/>
      <w:szCs w:val="28"/>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customStyle="1" w:styleId="4">
    <w:name w:val="p0"/>
    <w:basedOn w:val="1"/>
    <w:qFormat/>
    <w:uiPriority w:val="0"/>
    <w:pPr>
      <w:widowControl/>
    </w:pPr>
    <w:rPr>
      <w:rFonts w:ascii="Times New Roman" w:hAnsi="Times New Roman"/>
      <w:kern w:val="0"/>
      <w:szCs w:val="21"/>
    </w:rPr>
  </w:style>
  <w:style w:type="paragraph" w:styleId="7">
    <w:name w:val="table of figures"/>
    <w:basedOn w:val="1"/>
    <w:next w:val="1"/>
    <w:qFormat/>
    <w:uiPriority w:val="0"/>
    <w:pPr>
      <w:ind w:leftChars="200" w:hanging="200" w:hangingChars="200"/>
    </w:pPr>
  </w:style>
  <w:style w:type="paragraph" w:styleId="8">
    <w:name w:val="Normal Indent"/>
    <w:basedOn w:val="1"/>
    <w:unhideWhenUsed/>
    <w:qFormat/>
    <w:uiPriority w:val="99"/>
    <w:pPr>
      <w:ind w:firstLine="420" w:firstLineChars="200"/>
    </w:pPr>
  </w:style>
  <w:style w:type="paragraph" w:styleId="9">
    <w:name w:val="annotation text"/>
    <w:basedOn w:val="1"/>
    <w:qFormat/>
    <w:uiPriority w:val="0"/>
    <w:pPr>
      <w:jc w:val="left"/>
    </w:pPr>
  </w:style>
  <w:style w:type="paragraph" w:styleId="10">
    <w:name w:val="Body Text"/>
    <w:basedOn w:val="1"/>
    <w:qFormat/>
    <w:uiPriority w:val="1"/>
    <w:pPr>
      <w:ind w:left="747"/>
    </w:pPr>
    <w:rPr>
      <w:rFonts w:ascii="仿宋" w:hAnsi="仿宋" w:eastAsia="仿宋" w:cs="仿宋"/>
      <w:szCs w:val="32"/>
      <w:lang w:val="zh-CN" w:bidi="zh-CN"/>
    </w:rPr>
  </w:style>
  <w:style w:type="paragraph" w:styleId="11">
    <w:name w:val="Body Text Indent"/>
    <w:basedOn w:val="1"/>
    <w:next w:val="8"/>
    <w:qFormat/>
    <w:uiPriority w:val="0"/>
    <w:pPr>
      <w:spacing w:after="120"/>
      <w:ind w:left="420" w:leftChars="200"/>
    </w:p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0"/>
  </w:style>
  <w:style w:type="paragraph" w:styleId="15">
    <w:name w:val="footnote text"/>
    <w:basedOn w:val="1"/>
    <w:qFormat/>
    <w:uiPriority w:val="0"/>
    <w:pPr>
      <w:snapToGrid w:val="0"/>
      <w:jc w:val="left"/>
    </w:pPr>
    <w:rPr>
      <w:sz w:val="18"/>
    </w:rPr>
  </w:style>
  <w:style w:type="paragraph" w:styleId="16">
    <w:name w:val="toc 2"/>
    <w:basedOn w:val="1"/>
    <w:next w:val="1"/>
    <w:qFormat/>
    <w:uiPriority w:val="0"/>
    <w:pPr>
      <w:ind w:left="420" w:leftChars="200"/>
    </w:pPr>
  </w:style>
  <w:style w:type="paragraph" w:styleId="1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8">
    <w:name w:val="Body Text First Indent 2"/>
    <w:basedOn w:val="11"/>
    <w:qFormat/>
    <w:uiPriority w:val="0"/>
    <w:pPr>
      <w:spacing w:after="0"/>
      <w:ind w:firstLine="420" w:firstLineChars="200"/>
    </w:pPr>
    <w:rPr>
      <w:rFonts w:ascii="Calibri" w:hAnsi="Calibri"/>
      <w:sz w:val="21"/>
    </w:r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character" w:styleId="23">
    <w:name w:val="footnote reference"/>
    <w:basedOn w:val="20"/>
    <w:qFormat/>
    <w:uiPriority w:val="0"/>
    <w:rPr>
      <w:vertAlign w:val="superscript"/>
    </w:rPr>
  </w:style>
  <w:style w:type="paragraph" w:customStyle="1" w:styleId="24">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 w:type="character" w:customStyle="1" w:styleId="27">
    <w:name w:val="标题 2 字符"/>
    <w:link w:val="3"/>
    <w:qFormat/>
    <w:uiPriority w:val="9"/>
    <w:rPr>
      <w:rFonts w:eastAsia="楷体_GB2312" w:cs="楷体_GB2312"/>
      <w:b/>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617</Words>
  <Characters>659</Characters>
  <Lines>0</Lines>
  <Paragraphs>0</Paragraphs>
  <TotalTime>9</TotalTime>
  <ScaleCrop>false</ScaleCrop>
  <LinksUpToDate>false</LinksUpToDate>
  <CharactersWithSpaces>762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2022-05-24T08:50:00Z</dcterms:created>
  <dc:creator>Administrator</dc:creator>
  <cp:lastModifiedBy>WPS_1476835116</cp:lastModifiedBy>
  <cp:lastPrinted>2025-03-19T00:56:00Z</cp:lastPrinted>
  <dcterms:modified xsi:type="dcterms:W3CDTF">2025-03-20T07:55:17Z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4B61D15DB0974880B8B4AF5E37B6E7F0_13</vt:lpwstr>
  </property>
  <property fmtid="{D5CDD505-2E9C-101B-9397-08002B2CF9AE}" pid="4" name="KSOTemplateDocerSaveRecord">
    <vt:lpwstr>eyJoZGlkIjoiM2NkYzNlYjFkOTZhYWZkYWMzNGFkYWRiZGU4YmU2ODMiLCJ1c2VySWQiOiIyNDYyNzEzNzcifQ==</vt:lpwstr>
  </property>
</Properties>
</file>