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807559">
      <w:pPr>
        <w:ind w:firstLine="442" w:firstLineChars="100"/>
        <w:rPr>
          <w:b/>
          <w:bCs/>
          <w:sz w:val="44"/>
          <w:szCs w:val="44"/>
        </w:rPr>
      </w:pPr>
    </w:p>
    <w:p w14:paraId="3180BB4D">
      <w:pPr>
        <w:ind w:firstLine="442" w:firstLineChars="100"/>
        <w:rPr>
          <w:b/>
          <w:bCs/>
          <w:sz w:val="44"/>
          <w:szCs w:val="44"/>
        </w:rPr>
      </w:pPr>
    </w:p>
    <w:p w14:paraId="0CB15BE0">
      <w:pPr>
        <w:ind w:firstLine="442" w:firstLineChars="100"/>
        <w:rPr>
          <w:b/>
          <w:bCs/>
          <w:sz w:val="44"/>
          <w:szCs w:val="44"/>
        </w:rPr>
      </w:pPr>
    </w:p>
    <w:p w14:paraId="003D6EEC">
      <w:pPr>
        <w:ind w:firstLine="442" w:firstLineChars="100"/>
        <w:rPr>
          <w:b/>
          <w:bCs/>
          <w:sz w:val="44"/>
          <w:szCs w:val="44"/>
        </w:rPr>
      </w:pPr>
    </w:p>
    <w:p w14:paraId="3C85BD80">
      <w:pPr>
        <w:spacing w:line="360" w:lineRule="auto"/>
        <w:ind w:firstLine="482" w:firstLineChars="100"/>
        <w:jc w:val="center"/>
        <w:rPr>
          <w:rFonts w:ascii="黑体" w:hAnsi="黑体" w:eastAsia="黑体" w:cs="黑体"/>
          <w:b/>
          <w:bCs/>
          <w:sz w:val="48"/>
          <w:szCs w:val="48"/>
        </w:rPr>
      </w:pPr>
      <w:r>
        <w:rPr>
          <w:rFonts w:hint="eastAsia" w:ascii="黑体" w:hAnsi="黑体" w:eastAsia="黑体" w:cs="黑体"/>
          <w:b/>
          <w:bCs/>
          <w:sz w:val="48"/>
          <w:szCs w:val="48"/>
        </w:rPr>
        <w:t>《烟台市莱山区</w:t>
      </w:r>
      <w:r>
        <w:rPr>
          <w:rFonts w:hint="eastAsia" w:ascii="黑体" w:hAnsi="黑体" w:eastAsia="黑体" w:cs="黑体"/>
          <w:b/>
          <w:bCs/>
          <w:sz w:val="48"/>
          <w:szCs w:val="48"/>
          <w:lang w:val="en-US" w:eastAsia="zh-CN"/>
        </w:rPr>
        <w:t>2024</w:t>
      </w:r>
      <w:r>
        <w:rPr>
          <w:rFonts w:hint="eastAsia" w:ascii="黑体" w:hAnsi="黑体" w:eastAsia="黑体" w:cs="黑体"/>
          <w:b/>
          <w:bCs/>
          <w:sz w:val="48"/>
          <w:szCs w:val="48"/>
          <w:lang w:val="en-GB"/>
        </w:rPr>
        <w:t>—203</w:t>
      </w:r>
      <w:r>
        <w:rPr>
          <w:rFonts w:hint="eastAsia" w:ascii="黑体" w:hAnsi="黑体" w:eastAsia="黑体" w:cs="黑体"/>
          <w:b/>
          <w:bCs/>
          <w:sz w:val="48"/>
          <w:szCs w:val="48"/>
          <w:lang w:val="en-US" w:eastAsia="zh-CN"/>
        </w:rPr>
        <w:t>5</w:t>
      </w:r>
      <w:r>
        <w:rPr>
          <w:rFonts w:hint="eastAsia" w:ascii="黑体" w:hAnsi="黑体" w:eastAsia="黑体" w:cs="黑体"/>
          <w:b/>
          <w:bCs/>
          <w:sz w:val="48"/>
          <w:szCs w:val="48"/>
        </w:rPr>
        <w:t>年</w:t>
      </w:r>
    </w:p>
    <w:p w14:paraId="7421698A">
      <w:pPr>
        <w:spacing w:line="360" w:lineRule="auto"/>
        <w:ind w:firstLine="482" w:firstLineChars="100"/>
        <w:jc w:val="center"/>
        <w:rPr>
          <w:rFonts w:ascii="黑体" w:hAnsi="黑体" w:eastAsia="黑体" w:cs="黑体"/>
          <w:b/>
          <w:bCs/>
          <w:sz w:val="48"/>
          <w:szCs w:val="48"/>
        </w:rPr>
      </w:pPr>
      <w:r>
        <w:rPr>
          <w:rFonts w:hint="eastAsia" w:ascii="黑体" w:hAnsi="黑体" w:eastAsia="黑体" w:cs="黑体"/>
          <w:b/>
          <w:bCs/>
          <w:sz w:val="48"/>
          <w:szCs w:val="48"/>
        </w:rPr>
        <w:t>中小学及幼儿园布局规划》</w:t>
      </w:r>
    </w:p>
    <w:p w14:paraId="2346B6A7">
      <w:pPr>
        <w:spacing w:line="360" w:lineRule="auto"/>
        <w:ind w:firstLine="482" w:firstLineChars="100"/>
        <w:jc w:val="center"/>
        <w:rPr>
          <w:rFonts w:ascii="黑体" w:hAnsi="黑体" w:eastAsia="黑体" w:cs="黑体"/>
          <w:b/>
          <w:bCs/>
          <w:sz w:val="48"/>
          <w:szCs w:val="48"/>
        </w:rPr>
      </w:pPr>
    </w:p>
    <w:p w14:paraId="29D1CB04">
      <w:pPr>
        <w:spacing w:line="360" w:lineRule="auto"/>
        <w:ind w:firstLine="482" w:firstLineChars="100"/>
        <w:jc w:val="center"/>
        <w:rPr>
          <w:rFonts w:ascii="黑体" w:hAnsi="黑体" w:eastAsia="黑体" w:cs="黑体"/>
          <w:b/>
          <w:bCs/>
          <w:sz w:val="48"/>
          <w:szCs w:val="48"/>
        </w:rPr>
      </w:pPr>
      <w:r>
        <w:rPr>
          <w:rFonts w:hint="eastAsia" w:ascii="黑体" w:hAnsi="黑体" w:eastAsia="黑体" w:cs="黑体"/>
          <w:b/>
          <w:bCs/>
          <w:sz w:val="48"/>
          <w:szCs w:val="48"/>
        </w:rPr>
        <w:t>风险评估报告（</w:t>
      </w:r>
      <w:r>
        <w:rPr>
          <w:rFonts w:hint="eastAsia" w:ascii="黑体" w:hAnsi="黑体" w:eastAsia="黑体" w:cs="黑体"/>
          <w:b/>
          <w:bCs/>
          <w:sz w:val="48"/>
          <w:szCs w:val="48"/>
          <w:lang w:val="en-US" w:eastAsia="zh-CN"/>
        </w:rPr>
        <w:t>中</w:t>
      </w:r>
      <w:r>
        <w:rPr>
          <w:rFonts w:hint="eastAsia" w:ascii="黑体" w:hAnsi="黑体" w:eastAsia="黑体" w:cs="黑体"/>
          <w:b/>
          <w:bCs/>
          <w:sz w:val="48"/>
          <w:szCs w:val="48"/>
        </w:rPr>
        <w:t>小学）</w:t>
      </w:r>
    </w:p>
    <w:p w14:paraId="57C78D15">
      <w:pPr>
        <w:ind w:firstLine="442" w:firstLineChars="100"/>
        <w:jc w:val="center"/>
        <w:rPr>
          <w:b/>
          <w:bCs/>
          <w:sz w:val="44"/>
          <w:szCs w:val="44"/>
        </w:rPr>
      </w:pPr>
    </w:p>
    <w:p w14:paraId="2BB9F367">
      <w:pPr>
        <w:ind w:firstLine="442" w:firstLineChars="100"/>
        <w:jc w:val="center"/>
        <w:rPr>
          <w:b/>
          <w:bCs/>
          <w:sz w:val="44"/>
          <w:szCs w:val="44"/>
        </w:rPr>
      </w:pPr>
    </w:p>
    <w:p w14:paraId="6A5976C9">
      <w:pPr>
        <w:ind w:firstLine="442" w:firstLineChars="100"/>
        <w:jc w:val="center"/>
        <w:rPr>
          <w:b/>
          <w:bCs/>
          <w:sz w:val="44"/>
          <w:szCs w:val="44"/>
        </w:rPr>
      </w:pPr>
    </w:p>
    <w:p w14:paraId="2E9D0400">
      <w:pPr>
        <w:ind w:firstLine="442" w:firstLineChars="100"/>
        <w:jc w:val="center"/>
        <w:rPr>
          <w:b/>
          <w:bCs/>
          <w:sz w:val="44"/>
          <w:szCs w:val="44"/>
        </w:rPr>
      </w:pPr>
    </w:p>
    <w:p w14:paraId="14977AED">
      <w:pPr>
        <w:ind w:firstLine="442" w:firstLineChars="100"/>
        <w:jc w:val="center"/>
        <w:rPr>
          <w:b/>
          <w:bCs/>
          <w:sz w:val="44"/>
          <w:szCs w:val="44"/>
        </w:rPr>
      </w:pPr>
    </w:p>
    <w:p w14:paraId="3737044A">
      <w:pPr>
        <w:ind w:firstLine="442" w:firstLineChars="100"/>
        <w:jc w:val="center"/>
        <w:rPr>
          <w:b/>
          <w:bCs/>
          <w:sz w:val="44"/>
          <w:szCs w:val="44"/>
        </w:rPr>
      </w:pPr>
    </w:p>
    <w:p w14:paraId="1A93215E">
      <w:pPr>
        <w:ind w:firstLine="442" w:firstLineChars="100"/>
        <w:jc w:val="center"/>
        <w:rPr>
          <w:b/>
          <w:bCs/>
          <w:sz w:val="44"/>
          <w:szCs w:val="44"/>
        </w:rPr>
      </w:pPr>
    </w:p>
    <w:p w14:paraId="29A49A77">
      <w:pPr>
        <w:ind w:firstLine="442" w:firstLineChars="100"/>
        <w:jc w:val="center"/>
        <w:rPr>
          <w:b/>
          <w:bCs/>
          <w:sz w:val="44"/>
          <w:szCs w:val="44"/>
        </w:rPr>
      </w:pPr>
    </w:p>
    <w:p w14:paraId="03A345D3">
      <w:pPr>
        <w:ind w:firstLine="442" w:firstLineChars="100"/>
        <w:jc w:val="center"/>
        <w:rPr>
          <w:b/>
          <w:bCs/>
          <w:sz w:val="44"/>
          <w:szCs w:val="44"/>
        </w:rPr>
      </w:pPr>
    </w:p>
    <w:p w14:paraId="24E484DC">
      <w:pPr>
        <w:ind w:firstLine="442" w:firstLineChars="100"/>
        <w:jc w:val="center"/>
        <w:rPr>
          <w:b/>
          <w:bCs/>
          <w:sz w:val="44"/>
          <w:szCs w:val="44"/>
        </w:rPr>
      </w:pPr>
    </w:p>
    <w:p w14:paraId="7B23CC47">
      <w:pPr>
        <w:ind w:firstLine="442" w:firstLineChars="100"/>
        <w:jc w:val="center"/>
        <w:rPr>
          <w:rFonts w:ascii="黑体" w:hAnsi="黑体" w:eastAsia="黑体" w:cs="黑体"/>
          <w:b/>
          <w:bCs/>
          <w:sz w:val="44"/>
          <w:szCs w:val="44"/>
        </w:rPr>
      </w:pPr>
    </w:p>
    <w:p w14:paraId="485461F5">
      <w:pPr>
        <w:ind w:firstLine="321" w:firstLineChars="100"/>
        <w:jc w:val="center"/>
        <w:rPr>
          <w:rFonts w:ascii="黑体" w:hAnsi="黑体" w:eastAsia="黑体" w:cs="黑体"/>
          <w:b/>
          <w:bCs/>
          <w:sz w:val="32"/>
          <w:szCs w:val="32"/>
        </w:rPr>
      </w:pPr>
      <w:r>
        <w:rPr>
          <w:rFonts w:hint="eastAsia" w:ascii="黑体" w:hAnsi="黑体" w:eastAsia="黑体" w:cs="黑体"/>
          <w:b/>
          <w:bCs/>
          <w:sz w:val="32"/>
          <w:szCs w:val="32"/>
          <w:lang w:val="en-US" w:eastAsia="zh-CN"/>
        </w:rPr>
        <w:t>烟台市莱山区教育和体育局</w:t>
      </w:r>
    </w:p>
    <w:p w14:paraId="721F49C8">
      <w:pPr>
        <w:ind w:firstLine="321" w:firstLineChars="100"/>
        <w:jc w:val="center"/>
        <w:rPr>
          <w:rFonts w:hint="default" w:ascii="黑体" w:hAnsi="黑体" w:eastAsia="黑体" w:cs="黑体"/>
          <w:b/>
          <w:bCs/>
          <w:sz w:val="32"/>
          <w:szCs w:val="32"/>
          <w:lang w:val="en-US" w:eastAsia="zh-CN"/>
        </w:rPr>
      </w:pPr>
      <w:r>
        <w:rPr>
          <w:rFonts w:hint="eastAsia" w:ascii="黑体" w:hAnsi="黑体" w:eastAsia="黑体" w:cs="黑体"/>
          <w:b/>
          <w:bCs/>
          <w:sz w:val="32"/>
          <w:szCs w:val="32"/>
          <w:lang w:val="en-US" w:eastAsia="zh-CN"/>
        </w:rPr>
        <w:t>二零二四年十一月</w:t>
      </w:r>
    </w:p>
    <w:p w14:paraId="13E8F754"/>
    <w:p w14:paraId="7F875FBB"/>
    <w:p w14:paraId="302E3873">
      <w:pPr>
        <w:spacing w:line="360" w:lineRule="auto"/>
        <w:ind w:firstLine="560" w:firstLineChars="200"/>
        <w:rPr>
          <w:rFonts w:hAnsi="宋体"/>
          <w:sz w:val="28"/>
          <w:szCs w:val="28"/>
          <w:lang w:val="zh-CN"/>
        </w:rPr>
      </w:pPr>
      <w:r>
        <w:rPr>
          <w:rFonts w:hint="eastAsia" w:hAnsi="宋体"/>
          <w:sz w:val="28"/>
          <w:szCs w:val="28"/>
        </w:rPr>
        <w:t>根据《国务院关于统筹推进县域内城乡义务教育一体化改革发展的若干意见》《山东省人民政府关于贯彻国发〔2016〕40号文件统筹推进县域内城乡义务教育一体化改革发展的实施意见》《国务院办公厅关于规范农村义务教育学校布局调整的意见》《国务院办公厅关于全面加强乡村小规模学校和乡镇寄宿制学校建设的指导意见》《中共山东省委山东省人民政府关于切实加强和改进城市规划建设管理工作的实施意见》（《山东省人民政府办公厅&lt;转发省教育厅等部门关于做好义务教育学校布局工作的意见的通知》、《山东省关于贯彻国发〔2016〕40号文件统筹推进县域内城乡义务教育一体化改革发展的实施意见》《山东省普通中小学基本办学条件标准》（鲁教基发〔2017〕1号）以及</w:t>
      </w:r>
      <w:r>
        <w:rPr>
          <w:rFonts w:hint="eastAsia"/>
          <w:sz w:val="28"/>
          <w:szCs w:val="28"/>
        </w:rPr>
        <w:t>目莱山区教育现状及未来发展要求努力打造</w:t>
      </w:r>
      <w:r>
        <w:rPr>
          <w:rFonts w:hint="eastAsia" w:ascii="宋体" w:hAnsi="宋体" w:eastAsia="宋体" w:cs="宋体"/>
          <w:sz w:val="28"/>
          <w:szCs w:val="28"/>
        </w:rPr>
        <w:t>高标准、高质量教育资源，全面推进教育的均衡化、优质化发展，满足人民群众日益增长的教育需</w:t>
      </w:r>
      <w:r>
        <w:rPr>
          <w:rFonts w:hint="eastAsia"/>
          <w:sz w:val="28"/>
          <w:szCs w:val="28"/>
        </w:rPr>
        <w:t>求，烟台市</w:t>
      </w:r>
      <w:r>
        <w:rPr>
          <w:rFonts w:hint="eastAsia" w:hAnsi="宋体"/>
          <w:sz w:val="28"/>
          <w:szCs w:val="28"/>
        </w:rPr>
        <w:t>莱山区教育和体育局主持编制了《烟台市莱山区</w:t>
      </w:r>
      <w:r>
        <w:rPr>
          <w:rFonts w:hint="eastAsia" w:hAnsi="宋体"/>
          <w:sz w:val="28"/>
          <w:szCs w:val="28"/>
          <w:lang w:val="en-US" w:eastAsia="zh-CN"/>
        </w:rPr>
        <w:t>2024</w:t>
      </w:r>
      <w:r>
        <w:rPr>
          <w:rFonts w:hint="eastAsia" w:hAnsi="宋体"/>
          <w:sz w:val="28"/>
          <w:szCs w:val="28"/>
        </w:rPr>
        <w:t>-203</w:t>
      </w:r>
      <w:r>
        <w:rPr>
          <w:rFonts w:hint="eastAsia" w:hAnsi="宋体"/>
          <w:sz w:val="28"/>
          <w:szCs w:val="28"/>
          <w:lang w:val="en-US" w:eastAsia="zh-CN"/>
        </w:rPr>
        <w:t>5</w:t>
      </w:r>
      <w:r>
        <w:rPr>
          <w:rFonts w:hint="eastAsia" w:hAnsi="宋体"/>
          <w:sz w:val="28"/>
          <w:szCs w:val="28"/>
        </w:rPr>
        <w:t>中小学及幼儿园布局规划》。</w:t>
      </w:r>
    </w:p>
    <w:p w14:paraId="54CE8DF5">
      <w:pPr>
        <w:spacing w:line="560" w:lineRule="exact"/>
        <w:ind w:firstLine="560" w:firstLineChars="200"/>
        <w:rPr>
          <w:rFonts w:hAnsi="宋体"/>
          <w:sz w:val="28"/>
          <w:szCs w:val="28"/>
        </w:rPr>
      </w:pPr>
      <w:r>
        <w:rPr>
          <w:rFonts w:hint="eastAsia" w:hAnsi="宋体"/>
          <w:sz w:val="28"/>
          <w:szCs w:val="28"/>
        </w:rPr>
        <w:t>按照《重大行政决策暂行条例》（国务院令第713号）要求，烟台市政府办公室下发了《关于启动2019年市级重大行政决策事项的通知》，着重将决定对经济社会发展有重大影响、涉及重大公共利益或者社会公众切身利益的其他重大事项纳入市级重大行政决策事项范围。此次《烟台市莱山区</w:t>
      </w:r>
      <w:r>
        <w:rPr>
          <w:rFonts w:hint="eastAsia" w:hAnsi="宋体"/>
          <w:sz w:val="28"/>
          <w:szCs w:val="28"/>
          <w:lang w:val="en-US" w:eastAsia="zh-CN"/>
        </w:rPr>
        <w:t>2024</w:t>
      </w:r>
      <w:r>
        <w:rPr>
          <w:rFonts w:hint="eastAsia" w:hAnsi="宋体"/>
          <w:sz w:val="28"/>
          <w:szCs w:val="28"/>
        </w:rPr>
        <w:t>-203</w:t>
      </w:r>
      <w:r>
        <w:rPr>
          <w:rFonts w:hint="eastAsia" w:hAnsi="宋体"/>
          <w:sz w:val="28"/>
          <w:szCs w:val="28"/>
          <w:lang w:val="en-US" w:eastAsia="zh-CN"/>
        </w:rPr>
        <w:t>5</w:t>
      </w:r>
      <w:r>
        <w:rPr>
          <w:rFonts w:hint="eastAsia" w:hAnsi="宋体"/>
          <w:sz w:val="28"/>
          <w:szCs w:val="28"/>
        </w:rPr>
        <w:t>中小学及幼儿园布局规划》（以下简称《规划》）属于重大决策范畴，应单独进行风险评估。</w:t>
      </w:r>
    </w:p>
    <w:p w14:paraId="6BDF3A9A">
      <w:pPr>
        <w:spacing w:line="560" w:lineRule="exact"/>
        <w:ind w:firstLine="560" w:firstLineChars="200"/>
        <w:rPr>
          <w:rFonts w:hAnsi="宋体"/>
          <w:sz w:val="28"/>
          <w:szCs w:val="28"/>
        </w:rPr>
      </w:pPr>
      <w:r>
        <w:rPr>
          <w:rFonts w:hint="eastAsia" w:hAnsi="宋体"/>
          <w:sz w:val="28"/>
          <w:szCs w:val="28"/>
        </w:rPr>
        <w:t>通过对《规划》决策的合法性、合理性、可行性、公平性、安全可控性和决策执行力等进行的风险识别及分析，查找并列出风险点、风险发生的概率及影响程度，从而确定此次重大决策的社会稳定风险等级。</w:t>
      </w:r>
    </w:p>
    <w:p w14:paraId="5D89F5B2">
      <w:pPr>
        <w:spacing w:line="560" w:lineRule="exact"/>
        <w:ind w:firstLine="562" w:firstLineChars="200"/>
        <w:rPr>
          <w:rFonts w:hAnsi="宋体"/>
          <w:b/>
          <w:sz w:val="28"/>
          <w:szCs w:val="28"/>
        </w:rPr>
      </w:pPr>
      <w:r>
        <w:rPr>
          <w:rFonts w:hint="eastAsia" w:hAnsi="宋体"/>
          <w:b/>
          <w:sz w:val="28"/>
          <w:szCs w:val="28"/>
        </w:rPr>
        <w:t>（一）估计方法</w:t>
      </w:r>
    </w:p>
    <w:p w14:paraId="7048A3CC">
      <w:pPr>
        <w:spacing w:line="560" w:lineRule="exact"/>
        <w:ind w:firstLine="560" w:firstLineChars="200"/>
        <w:rPr>
          <w:rFonts w:hAnsi="宋体"/>
          <w:sz w:val="28"/>
          <w:szCs w:val="28"/>
        </w:rPr>
      </w:pPr>
      <w:r>
        <w:rPr>
          <w:rFonts w:hint="eastAsia" w:hAnsi="宋体"/>
          <w:sz w:val="28"/>
          <w:szCs w:val="28"/>
        </w:rPr>
        <w:t>在风险估计时采用定性分析和定量分析相结合的方法，逐一从产生风险的原因、影响表现、风险分布、影响程度等维度对风险因素进行多维度的分析。分别从风险概率、风险的影响程度和风险程度三个方面进行考察。</w:t>
      </w:r>
    </w:p>
    <w:p w14:paraId="0113D556">
      <w:pPr>
        <w:spacing w:line="560" w:lineRule="exact"/>
        <w:ind w:firstLine="560" w:firstLineChars="200"/>
        <w:rPr>
          <w:rFonts w:hAnsi="宋体"/>
          <w:sz w:val="28"/>
          <w:szCs w:val="28"/>
        </w:rPr>
      </w:pPr>
      <w:r>
        <w:rPr>
          <w:rFonts w:hint="eastAsia" w:hAnsi="宋体"/>
          <w:sz w:val="28"/>
          <w:szCs w:val="28"/>
        </w:rPr>
        <w:t>风险概率是指风险事件转化为社会稳定风险事件的可能性。按照风险因素发生的可能性，将风险概率划分为很高、较高、中等、较低、很低五个等级，各个等级划分依据（见表-1）。风险的影响程度是指风险因素影响时间、影响规模、群众承受能力等综合情况。对于单个风险因素的风险程度按照严重、较大、一般、较小、微小五个等级，各个等级的划分依据（见表-2）。风险程度为风险概率和风向影响程度的乘积。将单个风险因素的风险程度划分为重大、较大、一般、较小和微小五个等级。（见表-3）</w:t>
      </w:r>
    </w:p>
    <w:p w14:paraId="1A49939A">
      <w:pPr>
        <w:spacing w:line="360" w:lineRule="auto"/>
        <w:jc w:val="center"/>
      </w:pPr>
    </w:p>
    <w:p w14:paraId="56E86F23">
      <w:pPr>
        <w:spacing w:line="360" w:lineRule="auto"/>
        <w:jc w:val="center"/>
      </w:pPr>
      <w:r>
        <w:t>表-1  风险概率划分等级表</w:t>
      </w:r>
    </w:p>
    <w:tbl>
      <w:tblPr>
        <w:tblStyle w:val="5"/>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4"/>
        <w:gridCol w:w="6643"/>
        <w:gridCol w:w="941"/>
      </w:tblGrid>
      <w:tr w14:paraId="2B78E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4" w:type="dxa"/>
            <w:vAlign w:val="center"/>
          </w:tcPr>
          <w:p w14:paraId="2B1E9AE0">
            <w:pPr>
              <w:spacing w:line="360" w:lineRule="auto"/>
              <w:jc w:val="center"/>
            </w:pPr>
            <w:r>
              <w:t>等级</w:t>
            </w:r>
          </w:p>
        </w:tc>
        <w:tc>
          <w:tcPr>
            <w:tcW w:w="6643" w:type="dxa"/>
            <w:vAlign w:val="center"/>
          </w:tcPr>
          <w:p w14:paraId="20E10822">
            <w:pPr>
              <w:spacing w:line="360" w:lineRule="auto"/>
              <w:jc w:val="center"/>
            </w:pPr>
            <w:r>
              <w:t>参考依据</w:t>
            </w:r>
          </w:p>
        </w:tc>
        <w:tc>
          <w:tcPr>
            <w:tcW w:w="941" w:type="dxa"/>
            <w:vAlign w:val="center"/>
          </w:tcPr>
          <w:p w14:paraId="2FF6E85D">
            <w:pPr>
              <w:spacing w:line="360" w:lineRule="auto"/>
              <w:jc w:val="center"/>
            </w:pPr>
            <w:r>
              <w:t>表示</w:t>
            </w:r>
          </w:p>
        </w:tc>
      </w:tr>
      <w:tr w14:paraId="3AD22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4" w:type="dxa"/>
            <w:vAlign w:val="center"/>
          </w:tcPr>
          <w:p w14:paraId="01917A2E">
            <w:pPr>
              <w:spacing w:line="360" w:lineRule="auto"/>
              <w:jc w:val="center"/>
            </w:pPr>
            <w:r>
              <w:t>很高</w:t>
            </w:r>
          </w:p>
        </w:tc>
        <w:tc>
          <w:tcPr>
            <w:tcW w:w="6643" w:type="dxa"/>
            <w:vAlign w:val="center"/>
          </w:tcPr>
          <w:p w14:paraId="3D1A7439">
            <w:pPr>
              <w:spacing w:line="360" w:lineRule="auto"/>
              <w:jc w:val="center"/>
            </w:pPr>
            <w:r>
              <w:t>几乎确定（约0.8～1）</w:t>
            </w:r>
          </w:p>
        </w:tc>
        <w:tc>
          <w:tcPr>
            <w:tcW w:w="941" w:type="dxa"/>
            <w:vAlign w:val="center"/>
          </w:tcPr>
          <w:p w14:paraId="3FBADC90">
            <w:pPr>
              <w:spacing w:line="360" w:lineRule="auto"/>
              <w:jc w:val="center"/>
            </w:pPr>
            <w:r>
              <w:t>S</w:t>
            </w:r>
          </w:p>
        </w:tc>
      </w:tr>
      <w:tr w14:paraId="4CD0F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4" w:type="dxa"/>
            <w:vAlign w:val="center"/>
          </w:tcPr>
          <w:p w14:paraId="38945363">
            <w:pPr>
              <w:spacing w:line="360" w:lineRule="auto"/>
              <w:jc w:val="center"/>
            </w:pPr>
            <w:r>
              <w:t>较高</w:t>
            </w:r>
          </w:p>
        </w:tc>
        <w:tc>
          <w:tcPr>
            <w:tcW w:w="6643" w:type="dxa"/>
            <w:vAlign w:val="center"/>
          </w:tcPr>
          <w:p w14:paraId="4F01E6D2">
            <w:pPr>
              <w:spacing w:line="360" w:lineRule="auto"/>
              <w:jc w:val="center"/>
            </w:pPr>
            <w:r>
              <w:t>很可能发生（约0.6～0.8）</w:t>
            </w:r>
          </w:p>
        </w:tc>
        <w:tc>
          <w:tcPr>
            <w:tcW w:w="941" w:type="dxa"/>
            <w:vAlign w:val="center"/>
          </w:tcPr>
          <w:p w14:paraId="5D45B195">
            <w:pPr>
              <w:spacing w:line="360" w:lineRule="auto"/>
              <w:jc w:val="center"/>
            </w:pPr>
            <w:r>
              <w:t>H</w:t>
            </w:r>
          </w:p>
        </w:tc>
      </w:tr>
      <w:tr w14:paraId="13C30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4" w:type="dxa"/>
            <w:vAlign w:val="center"/>
          </w:tcPr>
          <w:p w14:paraId="36AE8721">
            <w:pPr>
              <w:spacing w:line="360" w:lineRule="auto"/>
              <w:jc w:val="center"/>
            </w:pPr>
            <w:r>
              <w:t>中等</w:t>
            </w:r>
          </w:p>
        </w:tc>
        <w:tc>
          <w:tcPr>
            <w:tcW w:w="6643" w:type="dxa"/>
            <w:vAlign w:val="center"/>
          </w:tcPr>
          <w:p w14:paraId="6A42BB2B">
            <w:pPr>
              <w:spacing w:line="360" w:lineRule="auto"/>
              <w:jc w:val="center"/>
            </w:pPr>
            <w:r>
              <w:t>有可能发生（约0.4～0.6）</w:t>
            </w:r>
          </w:p>
        </w:tc>
        <w:tc>
          <w:tcPr>
            <w:tcW w:w="941" w:type="dxa"/>
            <w:vAlign w:val="center"/>
          </w:tcPr>
          <w:p w14:paraId="380663B6">
            <w:pPr>
              <w:spacing w:line="360" w:lineRule="auto"/>
              <w:jc w:val="center"/>
            </w:pPr>
            <w:r>
              <w:t>M</w:t>
            </w:r>
          </w:p>
        </w:tc>
      </w:tr>
      <w:tr w14:paraId="13C1D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4" w:type="dxa"/>
            <w:vAlign w:val="center"/>
          </w:tcPr>
          <w:p w14:paraId="4127A33B">
            <w:pPr>
              <w:spacing w:line="360" w:lineRule="auto"/>
              <w:jc w:val="center"/>
            </w:pPr>
            <w:r>
              <w:t>较低</w:t>
            </w:r>
          </w:p>
        </w:tc>
        <w:tc>
          <w:tcPr>
            <w:tcW w:w="6643" w:type="dxa"/>
            <w:vAlign w:val="center"/>
          </w:tcPr>
          <w:p w14:paraId="69911CF0">
            <w:pPr>
              <w:spacing w:line="360" w:lineRule="auto"/>
              <w:jc w:val="center"/>
            </w:pPr>
            <w:r>
              <w:t>发生的可能性很小（约0.2～0.4）</w:t>
            </w:r>
          </w:p>
        </w:tc>
        <w:tc>
          <w:tcPr>
            <w:tcW w:w="941" w:type="dxa"/>
            <w:vAlign w:val="center"/>
          </w:tcPr>
          <w:p w14:paraId="4F9D2CCF">
            <w:pPr>
              <w:spacing w:line="360" w:lineRule="auto"/>
              <w:jc w:val="center"/>
            </w:pPr>
            <w:r>
              <w:t>L</w:t>
            </w:r>
          </w:p>
        </w:tc>
      </w:tr>
      <w:tr w14:paraId="1B3EB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4" w:type="dxa"/>
            <w:vAlign w:val="center"/>
          </w:tcPr>
          <w:p w14:paraId="2EA94821">
            <w:pPr>
              <w:spacing w:line="360" w:lineRule="auto"/>
              <w:jc w:val="center"/>
            </w:pPr>
            <w:r>
              <w:t>很低</w:t>
            </w:r>
          </w:p>
        </w:tc>
        <w:tc>
          <w:tcPr>
            <w:tcW w:w="6643" w:type="dxa"/>
            <w:vAlign w:val="center"/>
          </w:tcPr>
          <w:p w14:paraId="29295476">
            <w:pPr>
              <w:spacing w:line="360" w:lineRule="auto"/>
              <w:jc w:val="center"/>
            </w:pPr>
            <w:r>
              <w:t>发生的可能性很小，几乎不可能（约0~0.2）</w:t>
            </w:r>
          </w:p>
        </w:tc>
        <w:tc>
          <w:tcPr>
            <w:tcW w:w="941" w:type="dxa"/>
            <w:vAlign w:val="center"/>
          </w:tcPr>
          <w:p w14:paraId="759493DE">
            <w:pPr>
              <w:spacing w:line="360" w:lineRule="auto"/>
              <w:jc w:val="center"/>
            </w:pPr>
            <w:r>
              <w:t>N</w:t>
            </w:r>
          </w:p>
        </w:tc>
      </w:tr>
    </w:tbl>
    <w:p w14:paraId="20493254">
      <w:pPr>
        <w:spacing w:line="360" w:lineRule="auto"/>
        <w:jc w:val="center"/>
        <w:rPr>
          <w:rFonts w:ascii="宋体" w:hAnsi="宋体"/>
          <w:sz w:val="24"/>
        </w:rPr>
      </w:pPr>
    </w:p>
    <w:p w14:paraId="2E8EDD4D">
      <w:pPr>
        <w:spacing w:line="360" w:lineRule="auto"/>
        <w:jc w:val="center"/>
      </w:pPr>
      <w:r>
        <w:rPr>
          <w:rFonts w:hAnsi="宋体"/>
        </w:rPr>
        <w:t>表</w:t>
      </w:r>
      <w:r>
        <w:t xml:space="preserve">-2  </w:t>
      </w:r>
      <w:r>
        <w:rPr>
          <w:rFonts w:hAnsi="宋体"/>
        </w:rPr>
        <w:t>风险影响程度划分等级表</w:t>
      </w:r>
    </w:p>
    <w:tbl>
      <w:tblPr>
        <w:tblStyle w:val="5"/>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6840"/>
        <w:gridCol w:w="860"/>
      </w:tblGrid>
      <w:tr w14:paraId="2026F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Align w:val="center"/>
          </w:tcPr>
          <w:p w14:paraId="338F3184">
            <w:pPr>
              <w:spacing w:line="360" w:lineRule="auto"/>
              <w:jc w:val="center"/>
            </w:pPr>
            <w:r>
              <w:rPr>
                <w:rFonts w:hAnsi="宋体"/>
              </w:rPr>
              <w:t>等级</w:t>
            </w:r>
          </w:p>
        </w:tc>
        <w:tc>
          <w:tcPr>
            <w:tcW w:w="6840" w:type="dxa"/>
            <w:vAlign w:val="center"/>
          </w:tcPr>
          <w:p w14:paraId="664C098E">
            <w:pPr>
              <w:spacing w:line="360" w:lineRule="auto"/>
              <w:jc w:val="center"/>
            </w:pPr>
            <w:r>
              <w:rPr>
                <w:rFonts w:hAnsi="宋体"/>
              </w:rPr>
              <w:t>参考依据</w:t>
            </w:r>
          </w:p>
        </w:tc>
        <w:tc>
          <w:tcPr>
            <w:tcW w:w="860" w:type="dxa"/>
            <w:vAlign w:val="center"/>
          </w:tcPr>
          <w:p w14:paraId="61EE6E61">
            <w:pPr>
              <w:spacing w:line="360" w:lineRule="auto"/>
              <w:jc w:val="center"/>
            </w:pPr>
            <w:r>
              <w:rPr>
                <w:rFonts w:hAnsi="宋体"/>
              </w:rPr>
              <w:t>表示</w:t>
            </w:r>
          </w:p>
        </w:tc>
      </w:tr>
      <w:tr w14:paraId="12AAB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Align w:val="center"/>
          </w:tcPr>
          <w:p w14:paraId="31826460">
            <w:pPr>
              <w:spacing w:line="360" w:lineRule="auto"/>
              <w:jc w:val="center"/>
            </w:pPr>
            <w:r>
              <w:rPr>
                <w:rFonts w:hAnsi="宋体"/>
              </w:rPr>
              <w:t>重</w:t>
            </w:r>
            <w:r>
              <w:rPr>
                <w:rFonts w:hint="eastAsia" w:hAnsi="宋体"/>
              </w:rPr>
              <w:t>大</w:t>
            </w:r>
          </w:p>
        </w:tc>
        <w:tc>
          <w:tcPr>
            <w:tcW w:w="6840" w:type="dxa"/>
            <w:vAlign w:val="center"/>
          </w:tcPr>
          <w:p w14:paraId="3B0F1678">
            <w:pPr>
              <w:spacing w:line="360" w:lineRule="auto"/>
            </w:pPr>
            <w:r>
              <w:rPr>
                <w:rFonts w:hAnsi="宋体"/>
              </w:rPr>
              <w:t>关系到相关群体的基本权利、重大利益；风险影响的规模大、涉及人数众多；影响时间长；可能引起严重风险事件，造成极大负面影响。</w:t>
            </w:r>
          </w:p>
        </w:tc>
        <w:tc>
          <w:tcPr>
            <w:tcW w:w="860" w:type="dxa"/>
            <w:vAlign w:val="center"/>
          </w:tcPr>
          <w:p w14:paraId="717B026A">
            <w:pPr>
              <w:spacing w:line="360" w:lineRule="auto"/>
              <w:jc w:val="center"/>
            </w:pPr>
            <w:r>
              <w:t>S</w:t>
            </w:r>
          </w:p>
        </w:tc>
      </w:tr>
      <w:tr w14:paraId="039F1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Align w:val="center"/>
          </w:tcPr>
          <w:p w14:paraId="743AC044">
            <w:pPr>
              <w:spacing w:line="360" w:lineRule="auto"/>
              <w:jc w:val="center"/>
            </w:pPr>
            <w:r>
              <w:rPr>
                <w:rFonts w:hAnsi="宋体"/>
              </w:rPr>
              <w:t>较大</w:t>
            </w:r>
          </w:p>
        </w:tc>
        <w:tc>
          <w:tcPr>
            <w:tcW w:w="6840" w:type="dxa"/>
            <w:vAlign w:val="center"/>
          </w:tcPr>
          <w:p w14:paraId="0BD77121">
            <w:pPr>
              <w:spacing w:line="360" w:lineRule="auto"/>
            </w:pPr>
            <w:r>
              <w:rPr>
                <w:rFonts w:hAnsi="宋体"/>
              </w:rPr>
              <w:t>关系到相关群体的重要权利和利益；风险影响规模较大，涉及人数较多，影响时间较长；可能引发较大风险事件，造成较大负面影响。</w:t>
            </w:r>
          </w:p>
        </w:tc>
        <w:tc>
          <w:tcPr>
            <w:tcW w:w="860" w:type="dxa"/>
            <w:vAlign w:val="center"/>
          </w:tcPr>
          <w:p w14:paraId="65D9CC2E">
            <w:pPr>
              <w:spacing w:line="360" w:lineRule="auto"/>
              <w:jc w:val="center"/>
            </w:pPr>
            <w:r>
              <w:t>H</w:t>
            </w:r>
          </w:p>
        </w:tc>
      </w:tr>
      <w:tr w14:paraId="7B212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Align w:val="center"/>
          </w:tcPr>
          <w:p w14:paraId="2CCF011D">
            <w:pPr>
              <w:spacing w:line="360" w:lineRule="auto"/>
              <w:jc w:val="center"/>
            </w:pPr>
            <w:r>
              <w:rPr>
                <w:rFonts w:hAnsi="宋体"/>
              </w:rPr>
              <w:t>一般</w:t>
            </w:r>
          </w:p>
        </w:tc>
        <w:tc>
          <w:tcPr>
            <w:tcW w:w="6840" w:type="dxa"/>
            <w:vAlign w:val="center"/>
          </w:tcPr>
          <w:p w14:paraId="7A33310F">
            <w:pPr>
              <w:spacing w:line="360" w:lineRule="auto"/>
            </w:pPr>
            <w:r>
              <w:rPr>
                <w:rFonts w:hAnsi="宋体"/>
              </w:rPr>
              <w:t>对相关利益群体合法群益造成不利影响；风险影响规模中等，涉及一定数量；可能引发一般风险事件，在当地造成一定负面影响。</w:t>
            </w:r>
          </w:p>
        </w:tc>
        <w:tc>
          <w:tcPr>
            <w:tcW w:w="860" w:type="dxa"/>
            <w:vAlign w:val="center"/>
          </w:tcPr>
          <w:p w14:paraId="6F28AB60">
            <w:pPr>
              <w:spacing w:line="360" w:lineRule="auto"/>
              <w:jc w:val="center"/>
            </w:pPr>
            <w:r>
              <w:t>M</w:t>
            </w:r>
          </w:p>
        </w:tc>
      </w:tr>
      <w:tr w14:paraId="7110C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Align w:val="center"/>
          </w:tcPr>
          <w:p w14:paraId="24A88D4E">
            <w:pPr>
              <w:spacing w:line="360" w:lineRule="auto"/>
              <w:jc w:val="center"/>
            </w:pPr>
            <w:r>
              <w:rPr>
                <w:rFonts w:hAnsi="宋体"/>
              </w:rPr>
              <w:t>较小</w:t>
            </w:r>
          </w:p>
        </w:tc>
        <w:tc>
          <w:tcPr>
            <w:tcW w:w="6840" w:type="dxa"/>
            <w:vAlign w:val="center"/>
          </w:tcPr>
          <w:p w14:paraId="54176180">
            <w:pPr>
              <w:spacing w:line="360" w:lineRule="auto"/>
            </w:pPr>
            <w:r>
              <w:rPr>
                <w:rFonts w:hAnsi="宋体"/>
              </w:rPr>
              <w:t>风险影响规模较小，涉及人数较少，影响时间较短；可能零星引发一般风险事件，局部范围造成不利负面影响。</w:t>
            </w:r>
          </w:p>
        </w:tc>
        <w:tc>
          <w:tcPr>
            <w:tcW w:w="860" w:type="dxa"/>
            <w:vAlign w:val="center"/>
          </w:tcPr>
          <w:p w14:paraId="3C737E7E">
            <w:pPr>
              <w:spacing w:line="360" w:lineRule="auto"/>
              <w:jc w:val="center"/>
            </w:pPr>
            <w:r>
              <w:t>L</w:t>
            </w:r>
          </w:p>
        </w:tc>
      </w:tr>
      <w:tr w14:paraId="703B6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Align w:val="center"/>
          </w:tcPr>
          <w:p w14:paraId="7E53FD00">
            <w:pPr>
              <w:spacing w:line="360" w:lineRule="auto"/>
              <w:jc w:val="center"/>
            </w:pPr>
            <w:r>
              <w:rPr>
                <w:rFonts w:hAnsi="宋体"/>
              </w:rPr>
              <w:t>微小</w:t>
            </w:r>
          </w:p>
        </w:tc>
        <w:tc>
          <w:tcPr>
            <w:tcW w:w="6840" w:type="dxa"/>
            <w:vAlign w:val="center"/>
          </w:tcPr>
          <w:p w14:paraId="40989259">
            <w:pPr>
              <w:spacing w:line="360" w:lineRule="auto"/>
            </w:pPr>
            <w:r>
              <w:rPr>
                <w:rFonts w:hAnsi="宋体"/>
              </w:rPr>
              <w:t>风险影响规模有限，涉及个别利益相关者，可能引发个别矛盾，影响短时间可以消除。</w:t>
            </w:r>
          </w:p>
        </w:tc>
        <w:tc>
          <w:tcPr>
            <w:tcW w:w="860" w:type="dxa"/>
            <w:vAlign w:val="center"/>
          </w:tcPr>
          <w:p w14:paraId="17B63E7A">
            <w:pPr>
              <w:spacing w:line="360" w:lineRule="auto"/>
              <w:jc w:val="center"/>
            </w:pPr>
            <w:r>
              <w:t>N</w:t>
            </w:r>
          </w:p>
        </w:tc>
      </w:tr>
    </w:tbl>
    <w:p w14:paraId="507F634D">
      <w:pPr>
        <w:spacing w:line="360" w:lineRule="auto"/>
        <w:jc w:val="center"/>
        <w:rPr>
          <w:rFonts w:hAnsi="宋体"/>
        </w:rPr>
      </w:pPr>
    </w:p>
    <w:p w14:paraId="36A3DDB2">
      <w:pPr>
        <w:spacing w:line="360" w:lineRule="auto"/>
        <w:jc w:val="center"/>
      </w:pPr>
      <w:r>
        <w:rPr>
          <w:rFonts w:hAnsi="宋体"/>
        </w:rPr>
        <w:t>表</w:t>
      </w:r>
      <w:r>
        <w:t xml:space="preserve">-3  </w:t>
      </w:r>
      <w:r>
        <w:rPr>
          <w:rFonts w:hAnsi="宋体"/>
        </w:rPr>
        <w:t>风险程度划分等级表</w:t>
      </w:r>
    </w:p>
    <w:tbl>
      <w:tblPr>
        <w:tblStyle w:val="5"/>
        <w:tblW w:w="83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25"/>
        <w:gridCol w:w="4660"/>
        <w:gridCol w:w="1825"/>
      </w:tblGrid>
      <w:tr w14:paraId="010EB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25" w:type="dxa"/>
            <w:vAlign w:val="center"/>
          </w:tcPr>
          <w:p w14:paraId="7945DC3E">
            <w:pPr>
              <w:spacing w:line="360" w:lineRule="auto"/>
              <w:jc w:val="center"/>
            </w:pPr>
            <w:r>
              <w:t>等级</w:t>
            </w:r>
          </w:p>
        </w:tc>
        <w:tc>
          <w:tcPr>
            <w:tcW w:w="4660" w:type="dxa"/>
            <w:vAlign w:val="center"/>
          </w:tcPr>
          <w:p w14:paraId="41D93557">
            <w:pPr>
              <w:spacing w:line="360" w:lineRule="auto"/>
              <w:jc w:val="center"/>
            </w:pPr>
            <w:r>
              <w:t>参考依据</w:t>
            </w:r>
          </w:p>
        </w:tc>
        <w:tc>
          <w:tcPr>
            <w:tcW w:w="1825" w:type="dxa"/>
            <w:vAlign w:val="center"/>
          </w:tcPr>
          <w:p w14:paraId="2EC48A5B">
            <w:pPr>
              <w:spacing w:line="360" w:lineRule="auto"/>
              <w:jc w:val="center"/>
            </w:pPr>
            <w:r>
              <w:t>表示</w:t>
            </w:r>
          </w:p>
        </w:tc>
      </w:tr>
      <w:tr w14:paraId="6BF20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25" w:type="dxa"/>
            <w:vAlign w:val="center"/>
          </w:tcPr>
          <w:p w14:paraId="587948DC">
            <w:pPr>
              <w:spacing w:line="360" w:lineRule="auto"/>
              <w:jc w:val="center"/>
            </w:pPr>
            <w:r>
              <w:t>重</w:t>
            </w:r>
            <w:r>
              <w:rPr>
                <w:rFonts w:hint="eastAsia"/>
              </w:rPr>
              <w:t>大</w:t>
            </w:r>
          </w:p>
        </w:tc>
        <w:tc>
          <w:tcPr>
            <w:tcW w:w="4660" w:type="dxa"/>
            <w:vAlign w:val="center"/>
          </w:tcPr>
          <w:p w14:paraId="013F3BB5">
            <w:pPr>
              <w:spacing w:line="360" w:lineRule="auto"/>
              <w:jc w:val="center"/>
            </w:pPr>
            <w:r>
              <w:t>＞0.64</w:t>
            </w:r>
          </w:p>
        </w:tc>
        <w:tc>
          <w:tcPr>
            <w:tcW w:w="1825" w:type="dxa"/>
            <w:vAlign w:val="center"/>
          </w:tcPr>
          <w:p w14:paraId="37B39FA0">
            <w:pPr>
              <w:spacing w:line="360" w:lineRule="auto"/>
              <w:jc w:val="center"/>
            </w:pPr>
            <w:r>
              <w:t>S</w:t>
            </w:r>
          </w:p>
        </w:tc>
      </w:tr>
      <w:tr w14:paraId="18FBA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25" w:type="dxa"/>
            <w:vAlign w:val="center"/>
          </w:tcPr>
          <w:p w14:paraId="4C8FBEA2">
            <w:pPr>
              <w:spacing w:line="360" w:lineRule="auto"/>
              <w:jc w:val="center"/>
            </w:pPr>
            <w:r>
              <w:t>较大</w:t>
            </w:r>
          </w:p>
        </w:tc>
        <w:tc>
          <w:tcPr>
            <w:tcW w:w="4660" w:type="dxa"/>
            <w:vAlign w:val="center"/>
          </w:tcPr>
          <w:p w14:paraId="27AF3094">
            <w:pPr>
              <w:spacing w:line="360" w:lineRule="auto"/>
              <w:jc w:val="center"/>
            </w:pPr>
            <w:r>
              <w:t>0.64≥R＞0.36</w:t>
            </w:r>
          </w:p>
        </w:tc>
        <w:tc>
          <w:tcPr>
            <w:tcW w:w="1825" w:type="dxa"/>
            <w:vAlign w:val="center"/>
          </w:tcPr>
          <w:p w14:paraId="3CAC7395">
            <w:pPr>
              <w:spacing w:line="360" w:lineRule="auto"/>
              <w:jc w:val="center"/>
            </w:pPr>
            <w:r>
              <w:t>H</w:t>
            </w:r>
          </w:p>
        </w:tc>
      </w:tr>
      <w:tr w14:paraId="63084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25" w:type="dxa"/>
            <w:vAlign w:val="center"/>
          </w:tcPr>
          <w:p w14:paraId="2CA67E74">
            <w:pPr>
              <w:spacing w:line="360" w:lineRule="auto"/>
              <w:jc w:val="center"/>
            </w:pPr>
            <w:r>
              <w:t>一般</w:t>
            </w:r>
          </w:p>
        </w:tc>
        <w:tc>
          <w:tcPr>
            <w:tcW w:w="4660" w:type="dxa"/>
            <w:vAlign w:val="center"/>
          </w:tcPr>
          <w:p w14:paraId="5ABCFD4C">
            <w:pPr>
              <w:spacing w:line="360" w:lineRule="auto"/>
              <w:jc w:val="center"/>
            </w:pPr>
            <w:r>
              <w:t>0.36≥R＞0.16</w:t>
            </w:r>
          </w:p>
        </w:tc>
        <w:tc>
          <w:tcPr>
            <w:tcW w:w="1825" w:type="dxa"/>
            <w:vAlign w:val="center"/>
          </w:tcPr>
          <w:p w14:paraId="542A7F26">
            <w:pPr>
              <w:spacing w:line="360" w:lineRule="auto"/>
              <w:jc w:val="center"/>
            </w:pPr>
            <w:r>
              <w:t>M</w:t>
            </w:r>
          </w:p>
        </w:tc>
      </w:tr>
      <w:tr w14:paraId="28E7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25" w:type="dxa"/>
            <w:vAlign w:val="center"/>
          </w:tcPr>
          <w:p w14:paraId="5E1B3146">
            <w:pPr>
              <w:spacing w:line="360" w:lineRule="auto"/>
              <w:jc w:val="center"/>
            </w:pPr>
            <w:r>
              <w:t>较小</w:t>
            </w:r>
          </w:p>
        </w:tc>
        <w:tc>
          <w:tcPr>
            <w:tcW w:w="4660" w:type="dxa"/>
            <w:vAlign w:val="center"/>
          </w:tcPr>
          <w:p w14:paraId="27E477B5">
            <w:pPr>
              <w:spacing w:line="360" w:lineRule="auto"/>
              <w:jc w:val="center"/>
            </w:pPr>
            <w:r>
              <w:t>0.16≥R＞0.04</w:t>
            </w:r>
          </w:p>
        </w:tc>
        <w:tc>
          <w:tcPr>
            <w:tcW w:w="1825" w:type="dxa"/>
            <w:vAlign w:val="center"/>
          </w:tcPr>
          <w:p w14:paraId="067FF405">
            <w:pPr>
              <w:spacing w:line="360" w:lineRule="auto"/>
              <w:jc w:val="center"/>
            </w:pPr>
            <w:r>
              <w:t>L</w:t>
            </w:r>
          </w:p>
        </w:tc>
      </w:tr>
      <w:tr w14:paraId="36A09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25" w:type="dxa"/>
            <w:vAlign w:val="center"/>
          </w:tcPr>
          <w:p w14:paraId="375ACC3A">
            <w:pPr>
              <w:spacing w:line="360" w:lineRule="auto"/>
              <w:jc w:val="center"/>
            </w:pPr>
            <w:r>
              <w:t>微小</w:t>
            </w:r>
          </w:p>
        </w:tc>
        <w:tc>
          <w:tcPr>
            <w:tcW w:w="4660" w:type="dxa"/>
            <w:vAlign w:val="center"/>
          </w:tcPr>
          <w:p w14:paraId="4AA978D7">
            <w:pPr>
              <w:spacing w:line="360" w:lineRule="auto"/>
              <w:jc w:val="center"/>
            </w:pPr>
            <w:r>
              <w:t>R≤0.04</w:t>
            </w:r>
          </w:p>
        </w:tc>
        <w:tc>
          <w:tcPr>
            <w:tcW w:w="1825" w:type="dxa"/>
            <w:vAlign w:val="center"/>
          </w:tcPr>
          <w:p w14:paraId="67E7FCB4">
            <w:pPr>
              <w:spacing w:line="360" w:lineRule="auto"/>
              <w:jc w:val="center"/>
            </w:pPr>
            <w:r>
              <w:t>N</w:t>
            </w:r>
          </w:p>
        </w:tc>
      </w:tr>
    </w:tbl>
    <w:p w14:paraId="05EC69D8">
      <w:pPr>
        <w:spacing w:line="360" w:lineRule="auto"/>
        <w:ind w:firstLine="482" w:firstLineChars="200"/>
        <w:rPr>
          <w:rFonts w:ascii="宋体" w:hAnsi="宋体"/>
          <w:b/>
          <w:sz w:val="24"/>
          <w:szCs w:val="24"/>
        </w:rPr>
      </w:pPr>
    </w:p>
    <w:p w14:paraId="4EDE3550">
      <w:pPr>
        <w:spacing w:line="560" w:lineRule="exact"/>
        <w:ind w:firstLine="562" w:firstLineChars="200"/>
        <w:rPr>
          <w:rFonts w:ascii="宋体" w:hAnsi="宋体"/>
          <w:b/>
          <w:sz w:val="28"/>
          <w:szCs w:val="28"/>
        </w:rPr>
      </w:pPr>
      <w:r>
        <w:rPr>
          <w:rFonts w:hint="eastAsia" w:ascii="宋体" w:hAnsi="宋体"/>
          <w:b/>
          <w:sz w:val="28"/>
          <w:szCs w:val="28"/>
        </w:rPr>
        <w:t>（二）主要风险因素</w:t>
      </w:r>
    </w:p>
    <w:p w14:paraId="11CD8946">
      <w:pPr>
        <w:spacing w:line="560" w:lineRule="exact"/>
        <w:ind w:firstLine="560" w:firstLineChars="200"/>
        <w:rPr>
          <w:rFonts w:ascii="宋体" w:hAnsi="宋体"/>
          <w:sz w:val="28"/>
          <w:szCs w:val="28"/>
        </w:rPr>
      </w:pPr>
      <w:r>
        <w:rPr>
          <w:rFonts w:hint="eastAsia" w:ascii="宋体" w:hAnsi="宋体"/>
          <w:sz w:val="28"/>
          <w:szCs w:val="28"/>
        </w:rPr>
        <w:t>通过分析研究，共识别出本决策11个单风险因素：</w:t>
      </w:r>
    </w:p>
    <w:p w14:paraId="45CCAB78">
      <w:pPr>
        <w:spacing w:line="560" w:lineRule="exact"/>
        <w:ind w:firstLine="560" w:firstLineChars="200"/>
        <w:rPr>
          <w:rFonts w:ascii="宋体" w:hAnsi="宋体"/>
          <w:sz w:val="28"/>
          <w:szCs w:val="28"/>
        </w:rPr>
      </w:pPr>
      <w:r>
        <w:rPr>
          <w:rFonts w:hint="eastAsia" w:ascii="宋体" w:hAnsi="宋体"/>
          <w:sz w:val="28"/>
          <w:szCs w:val="28"/>
        </w:rPr>
        <w:t>1、听证、公示等公众参与程序是否合法；2、决策的其他外部影响是否会引发社会矛盾和冲突；3、是否充分考虑到时间、空间、人力、物力、财力等制约因素；4、决策方案是否具体、详实，配套措施是否完善；5、是否引发失业率增加；6、是否导致新的收入分配不公、贫富差距加大；7、学校周边环境对儿童是否存在安全隐患；8、政府监管水平；9、舆论宣传引导、网络打防管控能力及对负面舆论、恶意炒作应对能力；10、政府各职能部门信息沟通渠道是否畅通。</w:t>
      </w:r>
    </w:p>
    <w:p w14:paraId="0C637C52">
      <w:pPr>
        <w:spacing w:line="560" w:lineRule="exact"/>
        <w:ind w:firstLine="562" w:firstLineChars="200"/>
        <w:rPr>
          <w:rFonts w:ascii="宋体" w:hAnsi="宋体"/>
          <w:b/>
          <w:sz w:val="28"/>
          <w:szCs w:val="28"/>
        </w:rPr>
      </w:pPr>
      <w:r>
        <w:rPr>
          <w:rFonts w:hint="eastAsia" w:ascii="宋体" w:hAnsi="宋体"/>
          <w:b/>
          <w:sz w:val="28"/>
          <w:szCs w:val="28"/>
        </w:rPr>
        <w:t>（三）单因素风险估计</w:t>
      </w:r>
    </w:p>
    <w:p w14:paraId="2938E74D">
      <w:pPr>
        <w:spacing w:line="560" w:lineRule="exact"/>
        <w:ind w:firstLine="560" w:firstLineChars="200"/>
        <w:rPr>
          <w:rFonts w:ascii="宋体" w:hAnsi="宋体"/>
          <w:sz w:val="28"/>
          <w:szCs w:val="28"/>
        </w:rPr>
      </w:pPr>
      <w:r>
        <w:rPr>
          <w:rFonts w:hint="eastAsia" w:ascii="宋体" w:hAnsi="宋体"/>
          <w:sz w:val="28"/>
          <w:szCs w:val="28"/>
        </w:rPr>
        <w:t>1、听证、公示等公众参与程序的合法性</w:t>
      </w:r>
    </w:p>
    <w:p w14:paraId="6F6A6DC9">
      <w:pPr>
        <w:spacing w:line="560" w:lineRule="exact"/>
        <w:ind w:firstLine="560" w:firstLineChars="200"/>
        <w:rPr>
          <w:rFonts w:ascii="宋体" w:hAnsi="宋体"/>
          <w:sz w:val="28"/>
          <w:szCs w:val="28"/>
        </w:rPr>
      </w:pPr>
      <w:r>
        <w:rPr>
          <w:rFonts w:hint="eastAsia" w:ascii="宋体" w:hAnsi="宋体"/>
          <w:sz w:val="28"/>
          <w:szCs w:val="28"/>
        </w:rPr>
        <w:t>《规划》决策符合《烟台市重大行政决策程序规定》和中共烟台市委办公室、市政府办公室《关于印发〈烟台市重大决策社会稳定风险评估办法〉的通知》精神，烟台市莱山区教育和体育局已经进行了网络公示、专家论证等环节，以广泛征求公众意见和建议。</w:t>
      </w:r>
    </w:p>
    <w:p w14:paraId="4DAB0B9D">
      <w:pPr>
        <w:spacing w:line="560" w:lineRule="exact"/>
        <w:ind w:firstLine="560" w:firstLineChars="200"/>
        <w:rPr>
          <w:rFonts w:ascii="宋体" w:hAnsi="宋体"/>
          <w:sz w:val="28"/>
          <w:szCs w:val="28"/>
        </w:rPr>
      </w:pPr>
      <w:r>
        <w:rPr>
          <w:rFonts w:hint="eastAsia" w:ascii="宋体" w:hAnsi="宋体"/>
          <w:sz w:val="28"/>
          <w:szCs w:val="28"/>
        </w:rPr>
        <w:t>分析认为此项风险概率很低，风险影响程度较小。</w:t>
      </w:r>
    </w:p>
    <w:p w14:paraId="1B1AAB2A">
      <w:pPr>
        <w:spacing w:line="560" w:lineRule="exact"/>
        <w:ind w:firstLine="560" w:firstLineChars="200"/>
        <w:rPr>
          <w:rFonts w:ascii="宋体" w:hAnsi="宋体"/>
          <w:sz w:val="28"/>
          <w:szCs w:val="28"/>
        </w:rPr>
      </w:pPr>
      <w:r>
        <w:rPr>
          <w:rFonts w:hint="eastAsia" w:ascii="宋体" w:hAnsi="宋体"/>
          <w:sz w:val="28"/>
          <w:szCs w:val="28"/>
        </w:rPr>
        <w:t>2、决策的其他外部影响是否会引发社会矛盾和冲突</w:t>
      </w:r>
    </w:p>
    <w:p w14:paraId="1B1E9739">
      <w:pPr>
        <w:spacing w:line="560" w:lineRule="exact"/>
        <w:ind w:firstLine="560" w:firstLineChars="200"/>
        <w:rPr>
          <w:rFonts w:ascii="宋体" w:hAnsi="宋体"/>
          <w:sz w:val="28"/>
          <w:szCs w:val="28"/>
        </w:rPr>
      </w:pPr>
      <w:r>
        <w:rPr>
          <w:rFonts w:hint="eastAsia" w:ascii="宋体" w:hAnsi="宋体"/>
          <w:sz w:val="28"/>
          <w:szCs w:val="28"/>
        </w:rPr>
        <w:t>所谓社会冲突，一般指不同利益群体之间因社会利益的差异和对立而产生的外部对抗行为。社会冲突是社会矛盾的激烈对抗形式，是社会关系紧张与对立的产物。本规划需要特别关注以下几个问题：一是布局对周边居民生活、交通是否有影响,决策实施后或能会对周边的居民的生活带来一定的影响，特别在上学放学时段可能会对交通带来一定压力；在施工过程中</w:t>
      </w:r>
      <w:r>
        <w:rPr>
          <w:rFonts w:hint="eastAsia" w:ascii="宋体" w:hAnsi="宋体" w:eastAsia="宋体" w:cs="Times New Roman"/>
          <w:sz w:val="28"/>
          <w:szCs w:val="28"/>
        </w:rPr>
        <w:t>挖土机械、打桩机械以及施工车辆等所产生的噪声，对居民生活带来污染及噪音等方面的影响</w:t>
      </w:r>
      <w:r>
        <w:rPr>
          <w:rFonts w:hint="eastAsia" w:ascii="宋体" w:hAnsi="宋体"/>
          <w:sz w:val="28"/>
          <w:szCs w:val="28"/>
        </w:rPr>
        <w:t>。为了维护自身的权益，他们可能会采取诸如上访、集会等方式进行所谓维权，酿成群体事件。</w:t>
      </w:r>
    </w:p>
    <w:p w14:paraId="06E83632">
      <w:pPr>
        <w:spacing w:line="560" w:lineRule="exact"/>
        <w:ind w:firstLine="560" w:firstLineChars="200"/>
        <w:rPr>
          <w:rFonts w:ascii="宋体" w:hAnsi="宋体"/>
          <w:sz w:val="28"/>
          <w:szCs w:val="28"/>
        </w:rPr>
      </w:pPr>
      <w:r>
        <w:rPr>
          <w:rFonts w:hint="eastAsia" w:ascii="宋体" w:hAnsi="宋体"/>
          <w:sz w:val="28"/>
          <w:szCs w:val="28"/>
        </w:rPr>
        <w:t>分析认为采取风险防范、化解措施后，风险发生概率极低，风险影响程度低等。</w:t>
      </w:r>
    </w:p>
    <w:p w14:paraId="4E66B4C6">
      <w:pPr>
        <w:spacing w:line="560" w:lineRule="exact"/>
        <w:ind w:firstLine="560" w:firstLineChars="200"/>
        <w:rPr>
          <w:rFonts w:ascii="宋体" w:hAnsi="宋体"/>
          <w:sz w:val="28"/>
          <w:szCs w:val="28"/>
        </w:rPr>
      </w:pPr>
      <w:r>
        <w:rPr>
          <w:rFonts w:hint="eastAsia" w:ascii="宋体" w:hAnsi="宋体"/>
          <w:sz w:val="28"/>
          <w:szCs w:val="28"/>
        </w:rPr>
        <w:t xml:space="preserve">3、是否充分考虑到时间、空间、人力、物力、财力等制约因素 </w:t>
      </w:r>
    </w:p>
    <w:p w14:paraId="6E995C62">
      <w:pPr>
        <w:spacing w:line="560" w:lineRule="exact"/>
        <w:ind w:firstLine="560" w:firstLineChars="200"/>
        <w:rPr>
          <w:rFonts w:ascii="宋体" w:hAnsi="宋体"/>
          <w:sz w:val="28"/>
          <w:szCs w:val="28"/>
        </w:rPr>
      </w:pPr>
      <w:r>
        <w:rPr>
          <w:rFonts w:hint="eastAsia" w:ascii="宋体" w:hAnsi="宋体"/>
          <w:sz w:val="28"/>
          <w:szCs w:val="28"/>
        </w:rPr>
        <w:t>任何决策的出台，都要考虑到制约其顺利实施的时间、空间、人力、物力和财力等因素。大部分的决策，在其初期，对发展环境特别是基础设施的配套、财政金融资源支持度及产业政策等都有较高的要求，而且其从幼稚期到成熟期的过渡需要较长的时间。这一时期，需要政府持续地政策和资源的支撑。一旦这种支持程度不可持续，将导致《规划》不能如若完成，进而造成严重的经济损失和政府公信力的损害，甚至拖累烟台市整体发展的步伐。但考虑到烟台市自改革开放以来，经济社会事业快速发展，城市化快速推进，经济实力雄厚，再者国家及省市层面一直要求要让一切要素活力竞相迸发教育从基础保障转向优先保障，推动教育实现全方位可持续发展。要优化教育发展“硬环境”“软环境”“大环境”，切实做到发展规划优先考虑、资金投入优先保障、资源配置优先满足，加快推进现代化教育强省建设，因此在政策、资源支持上有良好保障。</w:t>
      </w:r>
    </w:p>
    <w:p w14:paraId="6EC926A6">
      <w:pPr>
        <w:spacing w:line="560" w:lineRule="exact"/>
        <w:ind w:firstLine="560" w:firstLineChars="200"/>
        <w:rPr>
          <w:rFonts w:ascii="宋体" w:hAnsi="宋体"/>
          <w:sz w:val="28"/>
          <w:szCs w:val="28"/>
        </w:rPr>
      </w:pPr>
      <w:r>
        <w:rPr>
          <w:rFonts w:hint="eastAsia" w:ascii="宋体" w:hAnsi="宋体"/>
          <w:sz w:val="28"/>
          <w:szCs w:val="28"/>
        </w:rPr>
        <w:t>分析认为采取风险防范、化解措施后，风险发生概率较低，风险影响程度低等。</w:t>
      </w:r>
    </w:p>
    <w:p w14:paraId="4C3F2980">
      <w:pPr>
        <w:spacing w:line="560" w:lineRule="exact"/>
        <w:ind w:firstLine="560" w:firstLineChars="200"/>
        <w:rPr>
          <w:rFonts w:ascii="宋体" w:hAnsi="宋体"/>
          <w:sz w:val="28"/>
          <w:szCs w:val="28"/>
        </w:rPr>
      </w:pPr>
      <w:r>
        <w:rPr>
          <w:rFonts w:hint="eastAsia" w:ascii="宋体" w:hAnsi="宋体"/>
          <w:sz w:val="28"/>
          <w:szCs w:val="28"/>
        </w:rPr>
        <w:t>4、决策方案及配套措施的完善程度</w:t>
      </w:r>
    </w:p>
    <w:p w14:paraId="4F3D3FA1">
      <w:pPr>
        <w:spacing w:line="560" w:lineRule="exact"/>
        <w:ind w:firstLine="560" w:firstLineChars="200"/>
        <w:rPr>
          <w:rFonts w:ascii="宋体" w:hAnsi="宋体"/>
          <w:sz w:val="28"/>
          <w:szCs w:val="28"/>
        </w:rPr>
      </w:pPr>
      <w:r>
        <w:rPr>
          <w:rFonts w:hint="eastAsia" w:ascii="宋体" w:hAnsi="宋体"/>
          <w:sz w:val="28"/>
          <w:szCs w:val="28"/>
        </w:rPr>
        <w:t>《</w:t>
      </w:r>
      <w:r>
        <w:rPr>
          <w:rFonts w:hint="eastAsia" w:hAnsi="宋体"/>
          <w:sz w:val="28"/>
          <w:szCs w:val="28"/>
        </w:rPr>
        <w:t>烟台市莱山区</w:t>
      </w:r>
      <w:r>
        <w:rPr>
          <w:rFonts w:hint="eastAsia" w:hAnsi="宋体"/>
          <w:sz w:val="28"/>
          <w:szCs w:val="28"/>
          <w:lang w:val="en-US" w:eastAsia="zh-CN"/>
        </w:rPr>
        <w:t>2024</w:t>
      </w:r>
      <w:r>
        <w:rPr>
          <w:rFonts w:hint="eastAsia" w:hAnsi="宋体"/>
          <w:sz w:val="28"/>
          <w:szCs w:val="28"/>
        </w:rPr>
        <w:t>-203</w:t>
      </w:r>
      <w:r>
        <w:rPr>
          <w:rFonts w:hint="eastAsia" w:hAnsi="宋体"/>
          <w:sz w:val="28"/>
          <w:szCs w:val="28"/>
          <w:lang w:val="en-US" w:eastAsia="zh-CN"/>
        </w:rPr>
        <w:t>5</w:t>
      </w:r>
      <w:r>
        <w:rPr>
          <w:rFonts w:hint="eastAsia" w:hAnsi="宋体"/>
          <w:sz w:val="28"/>
          <w:szCs w:val="28"/>
        </w:rPr>
        <w:t>中小学及幼儿园布局规划</w:t>
      </w:r>
      <w:r>
        <w:rPr>
          <w:rFonts w:hint="eastAsia" w:ascii="宋体" w:hAnsi="宋体"/>
          <w:sz w:val="28"/>
          <w:szCs w:val="28"/>
        </w:rPr>
        <w:t>》，经历了较长时间的准备工作。首先广泛征求群众意见，群策群力；其次听取社会各界意见和建议，进行专家论证，力争方案完善，配套措施可行；最后，委托第三方进行风险分析评估，识别风险因素，评估风险程度，努力将决策的风险降低到最低。</w:t>
      </w:r>
    </w:p>
    <w:p w14:paraId="02E31AE9">
      <w:pPr>
        <w:spacing w:line="560" w:lineRule="exact"/>
        <w:ind w:firstLine="560" w:firstLineChars="200"/>
        <w:rPr>
          <w:rFonts w:ascii="宋体" w:hAnsi="宋体"/>
          <w:sz w:val="28"/>
          <w:szCs w:val="28"/>
        </w:rPr>
      </w:pPr>
      <w:r>
        <w:rPr>
          <w:rFonts w:hint="eastAsia" w:ascii="宋体" w:hAnsi="宋体"/>
          <w:sz w:val="28"/>
          <w:szCs w:val="28"/>
        </w:rPr>
        <w:t>分析认为采取风险防范、化解措施后，风险发生概率较低，风险影响程度较小。</w:t>
      </w:r>
    </w:p>
    <w:p w14:paraId="4038F833">
      <w:pPr>
        <w:spacing w:line="560" w:lineRule="exact"/>
        <w:ind w:firstLine="560" w:firstLineChars="200"/>
        <w:rPr>
          <w:rFonts w:ascii="宋体" w:hAnsi="宋体"/>
          <w:sz w:val="28"/>
          <w:szCs w:val="28"/>
        </w:rPr>
      </w:pPr>
      <w:r>
        <w:rPr>
          <w:rFonts w:hint="eastAsia" w:ascii="宋体" w:hAnsi="宋体"/>
          <w:sz w:val="28"/>
          <w:szCs w:val="28"/>
        </w:rPr>
        <w:t>5、是否引发失业率增加</w:t>
      </w:r>
    </w:p>
    <w:p w14:paraId="062C3255">
      <w:pPr>
        <w:spacing w:line="560" w:lineRule="exact"/>
        <w:ind w:firstLine="560" w:firstLineChars="200"/>
        <w:rPr>
          <w:rFonts w:ascii="宋体" w:hAnsi="宋体"/>
          <w:sz w:val="28"/>
          <w:szCs w:val="28"/>
        </w:rPr>
      </w:pPr>
      <w:r>
        <w:rPr>
          <w:rFonts w:hint="eastAsia" w:ascii="宋体" w:hAnsi="宋体"/>
          <w:sz w:val="28"/>
          <w:szCs w:val="28"/>
        </w:rPr>
        <w:t>项目的推进不会引发失业率，规划</w:t>
      </w:r>
      <w:r>
        <w:rPr>
          <w:rFonts w:hint="eastAsia" w:ascii="宋体" w:hAnsi="宋体"/>
          <w:sz w:val="28"/>
          <w:szCs w:val="28"/>
          <w:lang w:val="en-US" w:eastAsia="zh-CN"/>
        </w:rPr>
        <w:t>方案主要为建设学校，</w:t>
      </w:r>
      <w:r>
        <w:rPr>
          <w:rFonts w:hint="eastAsia" w:ascii="宋体" w:hAnsi="宋体"/>
          <w:sz w:val="28"/>
          <w:szCs w:val="28"/>
        </w:rPr>
        <w:t>这需要大量教师来充实教育力量，所以会大大提高应届师范毕业生的就局环境，所以就项目而言对引发失业率的机率极低，但在项目建设过程中是否有涉及厂房搬迁引发的社会就业问题需要注意并合理解决。</w:t>
      </w:r>
    </w:p>
    <w:p w14:paraId="4073F4C1">
      <w:pPr>
        <w:spacing w:line="560" w:lineRule="exact"/>
        <w:ind w:firstLine="560" w:firstLineChars="200"/>
        <w:rPr>
          <w:rFonts w:ascii="宋体" w:hAnsi="宋体"/>
          <w:sz w:val="28"/>
          <w:szCs w:val="28"/>
        </w:rPr>
      </w:pPr>
      <w:r>
        <w:rPr>
          <w:rFonts w:hint="eastAsia" w:ascii="宋体" w:hAnsi="宋体"/>
          <w:sz w:val="28"/>
          <w:szCs w:val="28"/>
        </w:rPr>
        <w:t>分析认为采取风险防范、化解措施后，风险发生概率较小，风险影响程度较小。</w:t>
      </w:r>
    </w:p>
    <w:p w14:paraId="01029875">
      <w:pPr>
        <w:spacing w:line="560" w:lineRule="exact"/>
        <w:ind w:firstLine="560" w:firstLineChars="200"/>
        <w:rPr>
          <w:rFonts w:ascii="宋体" w:hAnsi="宋体"/>
          <w:sz w:val="28"/>
          <w:szCs w:val="28"/>
        </w:rPr>
      </w:pPr>
      <w:r>
        <w:rPr>
          <w:rFonts w:hint="eastAsia" w:ascii="宋体" w:hAnsi="宋体"/>
          <w:sz w:val="28"/>
          <w:szCs w:val="28"/>
        </w:rPr>
        <w:t>分析认为采风险影响程度无。</w:t>
      </w:r>
    </w:p>
    <w:p w14:paraId="7BA5EE68">
      <w:pPr>
        <w:spacing w:line="560" w:lineRule="exact"/>
        <w:ind w:firstLine="560" w:firstLineChars="200"/>
        <w:rPr>
          <w:rFonts w:ascii="宋体" w:hAnsi="宋体"/>
          <w:sz w:val="28"/>
          <w:szCs w:val="28"/>
        </w:rPr>
      </w:pPr>
      <w:r>
        <w:rPr>
          <w:rFonts w:hint="eastAsia" w:ascii="宋体" w:hAnsi="宋体"/>
          <w:sz w:val="28"/>
          <w:szCs w:val="28"/>
        </w:rPr>
        <w:t>6、是否导致新的收入分配不公、贫富差距加大</w:t>
      </w:r>
    </w:p>
    <w:p w14:paraId="63D6F1B4">
      <w:pPr>
        <w:spacing w:line="560" w:lineRule="exact"/>
        <w:ind w:firstLine="560" w:firstLineChars="200"/>
        <w:rPr>
          <w:rFonts w:ascii="宋体" w:hAnsi="宋体"/>
          <w:sz w:val="28"/>
          <w:szCs w:val="28"/>
        </w:rPr>
      </w:pPr>
      <w:r>
        <w:rPr>
          <w:rFonts w:hint="eastAsia" w:ascii="宋体" w:hAnsi="宋体"/>
          <w:sz w:val="28"/>
          <w:szCs w:val="28"/>
        </w:rPr>
        <w:t>扩大就业是缩小居民收入差距的根本途径。解决好就业问题，通过大力发展教育变人口大国为人力资源大国，是保持经济高速成长推动力的重要一环。要高度重视大学毕业生就业，认真解决就业困难人群的就业问题，努力创造更加公平公正的就业环境。烟台作为我国东部最发达的城市，经济基础较好，居民整体受教育程度较高。虽说本项目在很大程度上扩大了就业率，但是在项目的时间跨度大，对社会上的民营小企业的影响也是需要考虑。因此，应有周全的对策应付。</w:t>
      </w:r>
    </w:p>
    <w:p w14:paraId="790A7BFD">
      <w:pPr>
        <w:spacing w:line="560" w:lineRule="exact"/>
        <w:ind w:firstLine="560" w:firstLineChars="200"/>
        <w:rPr>
          <w:rFonts w:ascii="宋体" w:hAnsi="宋体"/>
          <w:sz w:val="28"/>
          <w:szCs w:val="28"/>
        </w:rPr>
      </w:pPr>
      <w:r>
        <w:rPr>
          <w:rFonts w:hint="eastAsia" w:ascii="宋体" w:hAnsi="宋体"/>
          <w:sz w:val="28"/>
          <w:szCs w:val="28"/>
        </w:rPr>
        <w:t>分析认为采取风险防范、化解措施后，风险发生概率较低，风险影响程度较小。</w:t>
      </w:r>
    </w:p>
    <w:p w14:paraId="4A836004">
      <w:pPr>
        <w:spacing w:line="560" w:lineRule="exact"/>
        <w:ind w:firstLine="560" w:firstLineChars="200"/>
        <w:rPr>
          <w:rFonts w:ascii="宋体" w:hAnsi="宋体"/>
          <w:sz w:val="28"/>
          <w:szCs w:val="28"/>
        </w:rPr>
      </w:pPr>
      <w:r>
        <w:rPr>
          <w:rFonts w:hint="eastAsia" w:ascii="宋体" w:hAnsi="宋体"/>
          <w:sz w:val="28"/>
          <w:szCs w:val="28"/>
        </w:rPr>
        <w:t>7、学校周边环境对儿童是否存在安全隐患</w:t>
      </w:r>
    </w:p>
    <w:p w14:paraId="01A351FF">
      <w:pPr>
        <w:spacing w:line="560" w:lineRule="exact"/>
        <w:ind w:firstLine="560" w:firstLineChars="200"/>
        <w:rPr>
          <w:rFonts w:ascii="宋体" w:hAnsi="宋体"/>
          <w:sz w:val="28"/>
          <w:szCs w:val="28"/>
        </w:rPr>
      </w:pPr>
      <w:r>
        <w:rPr>
          <w:rFonts w:hint="eastAsia" w:ascii="宋体" w:hAnsi="宋体"/>
          <w:sz w:val="28"/>
          <w:szCs w:val="28"/>
        </w:rPr>
        <w:t>各学校布局点均布置于人口相对密集，交通相对拥堵地区，在学校上放学期间也是上班高峰期，往来车辆较多，有一定的交通隐患，并且放学时儿童由校方与家长的交接疏忽有可能导致儿童受伤、走失的情况发生。</w:t>
      </w:r>
    </w:p>
    <w:p w14:paraId="4E372852">
      <w:pPr>
        <w:spacing w:line="560" w:lineRule="exact"/>
        <w:ind w:firstLine="560" w:firstLineChars="200"/>
        <w:rPr>
          <w:rFonts w:ascii="宋体" w:hAnsi="宋体"/>
          <w:sz w:val="28"/>
          <w:szCs w:val="28"/>
        </w:rPr>
      </w:pPr>
      <w:r>
        <w:rPr>
          <w:rFonts w:hint="eastAsia" w:ascii="宋体" w:hAnsi="宋体"/>
          <w:sz w:val="28"/>
          <w:szCs w:val="28"/>
        </w:rPr>
        <w:t>分析认为采取风险防范、化解措施后，风险发生概率较低，风险影响程度中等。</w:t>
      </w:r>
    </w:p>
    <w:p w14:paraId="0B76C83D">
      <w:pPr>
        <w:spacing w:line="560" w:lineRule="exact"/>
        <w:ind w:firstLine="560" w:firstLineChars="200"/>
        <w:rPr>
          <w:rFonts w:ascii="宋体" w:hAnsi="宋体"/>
          <w:sz w:val="28"/>
          <w:szCs w:val="28"/>
        </w:rPr>
      </w:pPr>
      <w:r>
        <w:rPr>
          <w:rFonts w:hint="eastAsia" w:ascii="宋体" w:hAnsi="宋体"/>
          <w:sz w:val="28"/>
          <w:szCs w:val="28"/>
        </w:rPr>
        <w:t>8、政府监管水平</w:t>
      </w:r>
    </w:p>
    <w:p w14:paraId="2C9BA452">
      <w:pPr>
        <w:spacing w:line="560" w:lineRule="exact"/>
        <w:ind w:firstLine="560" w:firstLineChars="200"/>
        <w:rPr>
          <w:rFonts w:ascii="宋体" w:hAnsi="宋体"/>
          <w:sz w:val="28"/>
          <w:szCs w:val="28"/>
        </w:rPr>
      </w:pPr>
      <w:r>
        <w:rPr>
          <w:rFonts w:hint="eastAsia" w:ascii="宋体" w:hAnsi="宋体"/>
          <w:sz w:val="28"/>
          <w:szCs w:val="28"/>
        </w:rPr>
        <w:t>《中华人民共和国教育法》第十五条指出：国务院教育行政部门主管全国教育工作，统筹规划、协调管理全国的教育事业。县级以上地方各级人民政府教育行政部门主管本行政区域内的教育工作。县级以上各级人民政府其他有关部门在各自的职责范围内，负责有关的教育工作。政府部门要实现依法、有效监管，推动民办教育健康、快速、持续发展，必须以宽容的心态、前瞻性的观念，树立监管意识，实施主动监管;创新监管方式，完善监管制度，严把准入，加强日常监管，完善退出机制;加强监管力量，建立协调机制，建立行政执法责任制，落实监管责任。</w:t>
      </w:r>
    </w:p>
    <w:p w14:paraId="6315B886">
      <w:pPr>
        <w:spacing w:line="560" w:lineRule="exact"/>
        <w:ind w:firstLine="560" w:firstLineChars="200"/>
        <w:rPr>
          <w:rFonts w:ascii="宋体" w:hAnsi="宋体"/>
          <w:sz w:val="28"/>
          <w:szCs w:val="28"/>
        </w:rPr>
      </w:pPr>
      <w:r>
        <w:rPr>
          <w:rFonts w:hint="eastAsia" w:ascii="宋体" w:hAnsi="宋体"/>
          <w:sz w:val="28"/>
          <w:szCs w:val="28"/>
        </w:rPr>
        <w:t>分析认为采取风险防范、化解措施后，风险发生概率较低，风险影响程度中等。</w:t>
      </w:r>
    </w:p>
    <w:p w14:paraId="26086E90">
      <w:pPr>
        <w:spacing w:line="560" w:lineRule="exact"/>
        <w:ind w:firstLine="560" w:firstLineChars="200"/>
        <w:rPr>
          <w:rFonts w:ascii="宋体" w:hAnsi="宋体"/>
          <w:sz w:val="28"/>
          <w:szCs w:val="28"/>
        </w:rPr>
      </w:pPr>
      <w:r>
        <w:rPr>
          <w:rFonts w:hint="eastAsia" w:ascii="宋体" w:hAnsi="宋体"/>
          <w:sz w:val="28"/>
          <w:szCs w:val="28"/>
        </w:rPr>
        <w:t>9、舆论宣传引导、网络打防管控能力及对负面舆论、恶意炒作应对能力</w:t>
      </w:r>
    </w:p>
    <w:p w14:paraId="5A4AE82B">
      <w:pPr>
        <w:spacing w:line="560" w:lineRule="exact"/>
        <w:ind w:firstLine="560" w:firstLineChars="200"/>
        <w:rPr>
          <w:rFonts w:ascii="宋体" w:hAnsi="宋体"/>
          <w:sz w:val="28"/>
          <w:szCs w:val="28"/>
        </w:rPr>
      </w:pPr>
      <w:r>
        <w:rPr>
          <w:rFonts w:hint="eastAsia" w:ascii="宋体" w:hAnsi="宋体"/>
          <w:sz w:val="28"/>
          <w:szCs w:val="28"/>
        </w:rPr>
        <w:t>社会公众的直观判断，容易受到社会舆论的影响。对于信息的真实性和有效性，公众往往根据现有的知识经验，从直观上去判断和理解。任何负面信息会在各种媒体上爆炸式迅速传播，引发公众不必要的误解。此外，由于目前网络媒体的发达，新闻事件的传播速度广泛而迅速，以及部分媒体报道不顾新闻的真实性和权威性，往往为吸引公众注意力、迎合公众口味，提高媒体知名度，故意歪曲或者倾向性的报道，而政府相关部门及企业的不透明，更加剧了公众对公开报道的相关信息的怀疑及否定，由此可能引发社会稳定风险。</w:t>
      </w:r>
    </w:p>
    <w:p w14:paraId="2BB30BB2">
      <w:pPr>
        <w:spacing w:line="560" w:lineRule="exact"/>
        <w:ind w:firstLine="560" w:firstLineChars="200"/>
        <w:rPr>
          <w:rFonts w:ascii="宋体" w:hAnsi="宋体"/>
          <w:sz w:val="28"/>
          <w:szCs w:val="28"/>
        </w:rPr>
      </w:pPr>
      <w:r>
        <w:rPr>
          <w:rFonts w:hint="eastAsia" w:ascii="宋体" w:hAnsi="宋体"/>
          <w:sz w:val="28"/>
          <w:szCs w:val="28"/>
        </w:rPr>
        <w:t>分析认为采取风险防范、化解措施后，风险发生概率很低，风险影响程度较小。</w:t>
      </w:r>
    </w:p>
    <w:p w14:paraId="537473C3">
      <w:pPr>
        <w:spacing w:line="560" w:lineRule="exact"/>
        <w:ind w:firstLine="560" w:firstLineChars="200"/>
        <w:rPr>
          <w:rFonts w:ascii="宋体" w:hAnsi="宋体"/>
          <w:sz w:val="28"/>
          <w:szCs w:val="28"/>
        </w:rPr>
      </w:pPr>
      <w:r>
        <w:rPr>
          <w:rFonts w:hint="eastAsia" w:ascii="宋体" w:hAnsi="宋体"/>
          <w:sz w:val="28"/>
          <w:szCs w:val="28"/>
        </w:rPr>
        <w:t>10.政府各职能部门信息沟通渠道是否畅通</w:t>
      </w:r>
    </w:p>
    <w:p w14:paraId="77025566">
      <w:pPr>
        <w:spacing w:line="560" w:lineRule="exact"/>
        <w:ind w:firstLine="560" w:firstLineChars="200"/>
        <w:rPr>
          <w:rFonts w:ascii="宋体" w:hAnsi="宋体"/>
          <w:sz w:val="28"/>
          <w:szCs w:val="28"/>
        </w:rPr>
      </w:pPr>
      <w:r>
        <w:rPr>
          <w:rFonts w:hint="eastAsia" w:ascii="宋体" w:hAnsi="宋体"/>
          <w:sz w:val="28"/>
          <w:szCs w:val="28"/>
        </w:rPr>
        <w:t>我国政府纵向体系沟通相对容易，横向协调却相对困难，明显存在各职能部门之间协调不足，层次繁多，信息传递缓慢等问题。据统计，政府机关绩效相对较差，70%是来自横向矛盾，主要原因是部门责权不清，碰到交叉的工作，相互都不主动配合，甚至还处处设障，相互推委责任。其次，不恰当的激励政策也会因不公正或不能平衡公众利益而引发争端和分歧。同时，由于机构层级多，信息传递过程失真扭曲的现象时有发生，导致一些问题不易被上级相关机构发现。本决策准备和实施过程需要多个职能部门的协同推进，如果各职能部门信息沟通渠道的畅通度不足，将导致决策失效。目前在职能部门对数字经济的监管上就存在边界不清的问题，相关部门认识不统一、职能不明确，极易形成各自为政、监管重复或监管真空等问题，这将对下一步的《规划》实施产生重大影响。</w:t>
      </w:r>
    </w:p>
    <w:p w14:paraId="2B5930FA">
      <w:pPr>
        <w:spacing w:line="560" w:lineRule="exact"/>
        <w:ind w:firstLine="560" w:firstLineChars="200"/>
        <w:rPr>
          <w:rFonts w:ascii="宋体" w:hAnsi="宋体"/>
          <w:sz w:val="28"/>
          <w:szCs w:val="28"/>
        </w:rPr>
      </w:pPr>
      <w:r>
        <w:rPr>
          <w:rFonts w:hint="eastAsia" w:ascii="宋体" w:hAnsi="宋体"/>
          <w:sz w:val="28"/>
          <w:szCs w:val="28"/>
        </w:rPr>
        <w:t>分析认为采取风险防范、化解措施后，风险发生概率较低，风险影响程度较小。</w:t>
      </w:r>
    </w:p>
    <w:p w14:paraId="38AD323E">
      <w:pPr>
        <w:spacing w:line="360" w:lineRule="auto"/>
        <w:jc w:val="center"/>
        <w:rPr>
          <w:rFonts w:hAnsi="宋体"/>
        </w:rPr>
      </w:pPr>
      <w:r>
        <w:rPr>
          <w:rFonts w:hint="eastAsia" w:ascii="宋体" w:hAnsi="宋体"/>
        </w:rPr>
        <w:t xml:space="preserve">表-4  </w:t>
      </w:r>
      <w:r>
        <w:rPr>
          <w:rFonts w:hint="eastAsia" w:hAnsi="宋体"/>
        </w:rPr>
        <w:t>《规划》主要风险因素及风险程度表</w:t>
      </w:r>
    </w:p>
    <w:tbl>
      <w:tblPr>
        <w:tblStyle w:val="5"/>
        <w:tblW w:w="81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2"/>
        <w:gridCol w:w="1395"/>
        <w:gridCol w:w="3525"/>
        <w:gridCol w:w="900"/>
        <w:gridCol w:w="900"/>
        <w:gridCol w:w="906"/>
      </w:tblGrid>
      <w:tr w14:paraId="747D0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502" w:type="dxa"/>
            <w:tcBorders>
              <w:bottom w:val="single" w:color="000000" w:sz="4" w:space="0"/>
              <w:right w:val="single" w:color="000000" w:sz="4" w:space="0"/>
              <w:tl2br w:val="nil"/>
              <w:tr2bl w:val="nil"/>
            </w:tcBorders>
            <w:vAlign w:val="center"/>
          </w:tcPr>
          <w:p w14:paraId="5C80DB7D">
            <w:pPr>
              <w:jc w:val="center"/>
              <w:rPr>
                <w:rFonts w:ascii="宋体" w:hAnsi="宋体" w:cs="宋体"/>
                <w:sz w:val="24"/>
              </w:rPr>
            </w:pPr>
            <w:r>
              <w:rPr>
                <w:rFonts w:hint="eastAsia" w:ascii="宋体" w:hAnsi="宋体" w:cs="宋体"/>
                <w:sz w:val="24"/>
              </w:rPr>
              <w:t>序号</w:t>
            </w:r>
          </w:p>
        </w:tc>
        <w:tc>
          <w:tcPr>
            <w:tcW w:w="1395" w:type="dxa"/>
            <w:tcBorders>
              <w:left w:val="single" w:color="000000" w:sz="4" w:space="0"/>
              <w:bottom w:val="single" w:color="000000" w:sz="4" w:space="0"/>
              <w:tl2br w:val="nil"/>
              <w:tr2bl w:val="nil"/>
            </w:tcBorders>
            <w:vAlign w:val="center"/>
          </w:tcPr>
          <w:p w14:paraId="0FE2A197">
            <w:pPr>
              <w:jc w:val="center"/>
              <w:rPr>
                <w:rFonts w:ascii="宋体" w:hAnsi="宋体" w:cs="宋体"/>
                <w:sz w:val="24"/>
              </w:rPr>
            </w:pPr>
            <w:r>
              <w:rPr>
                <w:rFonts w:hint="eastAsia" w:ascii="宋体" w:hAnsi="宋体" w:cs="宋体"/>
                <w:sz w:val="24"/>
              </w:rPr>
              <w:t>风险类型</w:t>
            </w:r>
          </w:p>
        </w:tc>
        <w:tc>
          <w:tcPr>
            <w:tcW w:w="3525" w:type="dxa"/>
            <w:tcBorders>
              <w:bottom w:val="single" w:color="000000" w:sz="4" w:space="0"/>
              <w:right w:val="single" w:color="000000" w:sz="4" w:space="0"/>
              <w:tl2br w:val="nil"/>
              <w:tr2bl w:val="nil"/>
            </w:tcBorders>
            <w:vAlign w:val="center"/>
          </w:tcPr>
          <w:p w14:paraId="20C14B27">
            <w:pPr>
              <w:jc w:val="center"/>
              <w:rPr>
                <w:rFonts w:ascii="宋体" w:hAnsi="宋体"/>
              </w:rPr>
            </w:pPr>
            <w:r>
              <w:rPr>
                <w:rFonts w:hint="eastAsia" w:ascii="宋体" w:hAnsi="宋体"/>
              </w:rPr>
              <w:t>风险因素</w:t>
            </w:r>
          </w:p>
        </w:tc>
        <w:tc>
          <w:tcPr>
            <w:tcW w:w="900" w:type="dxa"/>
            <w:tcBorders>
              <w:left w:val="single" w:color="000000" w:sz="4" w:space="0"/>
              <w:bottom w:val="single" w:color="000000" w:sz="4" w:space="0"/>
              <w:right w:val="single" w:color="000000" w:sz="4" w:space="0"/>
              <w:tl2br w:val="nil"/>
              <w:tr2bl w:val="nil"/>
            </w:tcBorders>
          </w:tcPr>
          <w:p w14:paraId="21D586ED">
            <w:pPr>
              <w:jc w:val="center"/>
              <w:rPr>
                <w:rFonts w:hAnsi="宋体"/>
                <w:szCs w:val="21"/>
              </w:rPr>
            </w:pPr>
            <w:r>
              <w:rPr>
                <w:rFonts w:hAnsi="宋体"/>
                <w:szCs w:val="21"/>
              </w:rPr>
              <w:t>风险</w:t>
            </w:r>
          </w:p>
          <w:p w14:paraId="2C2A14E4">
            <w:pPr>
              <w:jc w:val="center"/>
              <w:rPr>
                <w:rFonts w:ascii="宋体" w:hAnsi="宋体"/>
              </w:rPr>
            </w:pPr>
            <w:r>
              <w:rPr>
                <w:rFonts w:hAnsi="宋体"/>
                <w:szCs w:val="21"/>
              </w:rPr>
              <w:t>概率</w:t>
            </w:r>
          </w:p>
        </w:tc>
        <w:tc>
          <w:tcPr>
            <w:tcW w:w="900" w:type="dxa"/>
            <w:tcBorders>
              <w:left w:val="single" w:color="000000" w:sz="4" w:space="0"/>
              <w:bottom w:val="single" w:color="000000" w:sz="4" w:space="0"/>
              <w:right w:val="single" w:color="000000" w:sz="4" w:space="0"/>
              <w:tl2br w:val="nil"/>
              <w:tr2bl w:val="nil"/>
            </w:tcBorders>
          </w:tcPr>
          <w:p w14:paraId="60CA112F">
            <w:pPr>
              <w:jc w:val="center"/>
              <w:rPr>
                <w:rFonts w:hAnsi="宋体"/>
                <w:szCs w:val="21"/>
              </w:rPr>
            </w:pPr>
            <w:r>
              <w:rPr>
                <w:rFonts w:hAnsi="宋体"/>
                <w:szCs w:val="21"/>
              </w:rPr>
              <w:t>影响</w:t>
            </w:r>
          </w:p>
          <w:p w14:paraId="36C1D219">
            <w:pPr>
              <w:jc w:val="center"/>
              <w:rPr>
                <w:rFonts w:ascii="宋体" w:hAnsi="宋体"/>
              </w:rPr>
            </w:pPr>
            <w:r>
              <w:rPr>
                <w:rFonts w:hAnsi="宋体"/>
                <w:szCs w:val="21"/>
              </w:rPr>
              <w:t>程度</w:t>
            </w:r>
          </w:p>
        </w:tc>
        <w:tc>
          <w:tcPr>
            <w:tcW w:w="906" w:type="dxa"/>
            <w:tcBorders>
              <w:left w:val="single" w:color="000000" w:sz="4" w:space="0"/>
              <w:bottom w:val="single" w:color="000000" w:sz="4" w:space="0"/>
              <w:tl2br w:val="nil"/>
              <w:tr2bl w:val="nil"/>
            </w:tcBorders>
          </w:tcPr>
          <w:p w14:paraId="6AEEDACE">
            <w:pPr>
              <w:jc w:val="center"/>
              <w:rPr>
                <w:rFonts w:hAnsi="宋体"/>
                <w:szCs w:val="21"/>
              </w:rPr>
            </w:pPr>
            <w:r>
              <w:rPr>
                <w:rFonts w:hAnsi="宋体"/>
                <w:szCs w:val="21"/>
              </w:rPr>
              <w:t>风险</w:t>
            </w:r>
          </w:p>
          <w:p w14:paraId="232FA56C">
            <w:pPr>
              <w:jc w:val="center"/>
              <w:rPr>
                <w:rFonts w:ascii="宋体" w:hAnsi="宋体"/>
              </w:rPr>
            </w:pPr>
            <w:r>
              <w:rPr>
                <w:rFonts w:hAnsi="宋体"/>
                <w:szCs w:val="21"/>
              </w:rPr>
              <w:t>程度</w:t>
            </w:r>
          </w:p>
        </w:tc>
      </w:tr>
      <w:tr w14:paraId="6E671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502" w:type="dxa"/>
            <w:tcBorders>
              <w:top w:val="single" w:color="000000" w:sz="4" w:space="0"/>
              <w:right w:val="single" w:color="000000" w:sz="4" w:space="0"/>
              <w:tl2br w:val="nil"/>
              <w:tr2bl w:val="nil"/>
            </w:tcBorders>
            <w:vAlign w:val="center"/>
          </w:tcPr>
          <w:p w14:paraId="768E0407">
            <w:pPr>
              <w:jc w:val="center"/>
            </w:pPr>
            <w:r>
              <w:rPr>
                <w:rFonts w:hint="eastAsia"/>
              </w:rPr>
              <w:t>1</w:t>
            </w:r>
          </w:p>
        </w:tc>
        <w:tc>
          <w:tcPr>
            <w:tcW w:w="1395" w:type="dxa"/>
            <w:tcBorders>
              <w:top w:val="single" w:color="000000" w:sz="4" w:space="0"/>
              <w:left w:val="single" w:color="000000" w:sz="4" w:space="0"/>
              <w:tl2br w:val="nil"/>
              <w:tr2bl w:val="nil"/>
            </w:tcBorders>
            <w:vAlign w:val="center"/>
          </w:tcPr>
          <w:p w14:paraId="66819D7C">
            <w:pPr>
              <w:jc w:val="center"/>
            </w:pPr>
            <w:r>
              <w:rPr>
                <w:rFonts w:hint="eastAsia"/>
              </w:rPr>
              <w:t>决策合法性</w:t>
            </w:r>
          </w:p>
        </w:tc>
        <w:tc>
          <w:tcPr>
            <w:tcW w:w="3525" w:type="dxa"/>
            <w:tcBorders>
              <w:top w:val="single" w:color="000000" w:sz="4" w:space="0"/>
              <w:right w:val="single" w:color="000000" w:sz="4" w:space="0"/>
              <w:tl2br w:val="nil"/>
              <w:tr2bl w:val="nil"/>
            </w:tcBorders>
          </w:tcPr>
          <w:p w14:paraId="43933352">
            <w:pPr>
              <w:rPr>
                <w:rFonts w:ascii="宋体" w:hAnsi="宋体"/>
              </w:rPr>
            </w:pPr>
            <w:r>
              <w:rPr>
                <w:rFonts w:hint="eastAsia" w:ascii="宋体" w:hAnsi="宋体"/>
              </w:rPr>
              <w:t>听证、公示等公众参与程序是否合法</w:t>
            </w:r>
          </w:p>
        </w:tc>
        <w:tc>
          <w:tcPr>
            <w:tcW w:w="900" w:type="dxa"/>
            <w:tcBorders>
              <w:top w:val="single" w:color="000000" w:sz="4" w:space="0"/>
              <w:left w:val="single" w:color="000000" w:sz="4" w:space="0"/>
              <w:right w:val="single" w:color="000000" w:sz="4" w:space="0"/>
              <w:tl2br w:val="nil"/>
              <w:tr2bl w:val="nil"/>
            </w:tcBorders>
            <w:vAlign w:val="center"/>
          </w:tcPr>
          <w:p w14:paraId="7B94699D">
            <w:pPr>
              <w:jc w:val="center"/>
              <w:rPr>
                <w:rFonts w:ascii="宋体" w:hAnsi="宋体" w:eastAsia="宋体"/>
              </w:rPr>
            </w:pPr>
            <w:r>
              <w:rPr>
                <w:rFonts w:hint="eastAsia" w:ascii="宋体" w:hAnsi="宋体" w:eastAsia="宋体"/>
              </w:rPr>
              <w:t>很低</w:t>
            </w:r>
          </w:p>
        </w:tc>
        <w:tc>
          <w:tcPr>
            <w:tcW w:w="900" w:type="dxa"/>
            <w:tcBorders>
              <w:top w:val="single" w:color="000000" w:sz="4" w:space="0"/>
              <w:left w:val="single" w:color="000000" w:sz="4" w:space="0"/>
              <w:right w:val="single" w:color="000000" w:sz="4" w:space="0"/>
              <w:tl2br w:val="nil"/>
              <w:tr2bl w:val="nil"/>
            </w:tcBorders>
            <w:vAlign w:val="center"/>
          </w:tcPr>
          <w:p w14:paraId="081F7E25">
            <w:pPr>
              <w:jc w:val="center"/>
              <w:rPr>
                <w:rFonts w:ascii="宋体" w:hAnsi="宋体" w:eastAsia="宋体"/>
              </w:rPr>
            </w:pPr>
            <w:r>
              <w:rPr>
                <w:rFonts w:hint="eastAsia" w:ascii="宋体" w:hAnsi="宋体" w:eastAsia="宋体"/>
              </w:rPr>
              <w:t>较小</w:t>
            </w:r>
          </w:p>
        </w:tc>
        <w:tc>
          <w:tcPr>
            <w:tcW w:w="906" w:type="dxa"/>
            <w:tcBorders>
              <w:top w:val="single" w:color="000000" w:sz="4" w:space="0"/>
              <w:left w:val="single" w:color="000000" w:sz="4" w:space="0"/>
              <w:tl2br w:val="nil"/>
              <w:tr2bl w:val="nil"/>
            </w:tcBorders>
            <w:vAlign w:val="center"/>
          </w:tcPr>
          <w:p w14:paraId="34286676">
            <w:pPr>
              <w:jc w:val="center"/>
              <w:rPr>
                <w:rFonts w:ascii="宋体" w:hAnsi="宋体" w:eastAsia="宋体"/>
              </w:rPr>
            </w:pPr>
            <w:r>
              <w:rPr>
                <w:rFonts w:hint="eastAsia" w:ascii="宋体" w:hAnsi="宋体"/>
              </w:rPr>
              <w:t>较小</w:t>
            </w:r>
          </w:p>
        </w:tc>
      </w:tr>
      <w:tr w14:paraId="4CD41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502" w:type="dxa"/>
            <w:vMerge w:val="restart"/>
            <w:tcBorders>
              <w:right w:val="single" w:color="000000" w:sz="4" w:space="0"/>
              <w:tl2br w:val="nil"/>
              <w:tr2bl w:val="nil"/>
            </w:tcBorders>
            <w:vAlign w:val="center"/>
          </w:tcPr>
          <w:p w14:paraId="5D018D3D">
            <w:pPr>
              <w:jc w:val="center"/>
              <w:rPr>
                <w:rFonts w:ascii="宋体" w:hAnsi="宋体" w:cs="宋体"/>
                <w:sz w:val="24"/>
              </w:rPr>
            </w:pPr>
            <w:r>
              <w:rPr>
                <w:rFonts w:hint="eastAsia"/>
              </w:rPr>
              <w:t>2</w:t>
            </w:r>
          </w:p>
        </w:tc>
        <w:tc>
          <w:tcPr>
            <w:tcW w:w="1395" w:type="dxa"/>
            <w:tcBorders>
              <w:left w:val="single" w:color="000000" w:sz="4" w:space="0"/>
              <w:bottom w:val="single" w:color="000000" w:sz="4" w:space="0"/>
              <w:tl2br w:val="nil"/>
              <w:tr2bl w:val="nil"/>
            </w:tcBorders>
            <w:vAlign w:val="center"/>
          </w:tcPr>
          <w:p w14:paraId="51EDA956">
            <w:pPr>
              <w:jc w:val="center"/>
            </w:pPr>
            <w:r>
              <w:rPr>
                <w:rFonts w:hint="eastAsia"/>
              </w:rPr>
              <w:t>决策合理性</w:t>
            </w:r>
          </w:p>
        </w:tc>
        <w:tc>
          <w:tcPr>
            <w:tcW w:w="3525" w:type="dxa"/>
            <w:tcBorders>
              <w:bottom w:val="single" w:color="000000" w:sz="4" w:space="0"/>
              <w:right w:val="single" w:color="000000" w:sz="4" w:space="0"/>
              <w:tl2br w:val="nil"/>
              <w:tr2bl w:val="nil"/>
            </w:tcBorders>
          </w:tcPr>
          <w:p w14:paraId="75CB1619">
            <w:pPr>
              <w:rPr>
                <w:rFonts w:ascii="宋体" w:hAnsi="宋体"/>
              </w:rPr>
            </w:pPr>
            <w:r>
              <w:rPr>
                <w:rFonts w:hint="eastAsia" w:ascii="宋体" w:hAnsi="宋体"/>
              </w:rPr>
              <w:t>决策的其他外部影响是否会引发社会矛盾和冲突</w:t>
            </w:r>
          </w:p>
        </w:tc>
        <w:tc>
          <w:tcPr>
            <w:tcW w:w="900" w:type="dxa"/>
            <w:tcBorders>
              <w:left w:val="single" w:color="000000" w:sz="4" w:space="0"/>
              <w:bottom w:val="single" w:color="000000" w:sz="4" w:space="0"/>
              <w:right w:val="single" w:color="000000" w:sz="4" w:space="0"/>
              <w:tl2br w:val="nil"/>
              <w:tr2bl w:val="nil"/>
            </w:tcBorders>
            <w:vAlign w:val="center"/>
          </w:tcPr>
          <w:p w14:paraId="7ADDEEB4">
            <w:pPr>
              <w:jc w:val="center"/>
              <w:rPr>
                <w:rFonts w:ascii="宋体" w:hAnsi="宋体"/>
              </w:rPr>
            </w:pPr>
            <w:r>
              <w:rPr>
                <w:rFonts w:hint="eastAsia" w:ascii="宋体" w:hAnsi="宋体"/>
              </w:rPr>
              <w:t>较低</w:t>
            </w:r>
          </w:p>
        </w:tc>
        <w:tc>
          <w:tcPr>
            <w:tcW w:w="900" w:type="dxa"/>
            <w:tcBorders>
              <w:left w:val="single" w:color="000000" w:sz="4" w:space="0"/>
              <w:bottom w:val="single" w:color="000000" w:sz="4" w:space="0"/>
              <w:right w:val="single" w:color="000000" w:sz="4" w:space="0"/>
              <w:tl2br w:val="nil"/>
              <w:tr2bl w:val="nil"/>
            </w:tcBorders>
            <w:vAlign w:val="center"/>
          </w:tcPr>
          <w:p w14:paraId="20953B42">
            <w:pPr>
              <w:jc w:val="center"/>
              <w:rPr>
                <w:rFonts w:ascii="宋体" w:hAnsi="宋体"/>
              </w:rPr>
            </w:pPr>
            <w:r>
              <w:rPr>
                <w:rFonts w:hint="eastAsia" w:ascii="宋体" w:hAnsi="宋体"/>
              </w:rPr>
              <w:t>中等</w:t>
            </w:r>
          </w:p>
        </w:tc>
        <w:tc>
          <w:tcPr>
            <w:tcW w:w="906" w:type="dxa"/>
            <w:tcBorders>
              <w:left w:val="single" w:color="000000" w:sz="4" w:space="0"/>
              <w:bottom w:val="single" w:color="000000" w:sz="4" w:space="0"/>
              <w:tl2br w:val="nil"/>
              <w:tr2bl w:val="nil"/>
            </w:tcBorders>
            <w:vAlign w:val="center"/>
          </w:tcPr>
          <w:p w14:paraId="39613C38">
            <w:pPr>
              <w:jc w:val="center"/>
              <w:rPr>
                <w:rFonts w:ascii="宋体" w:hAnsi="宋体"/>
              </w:rPr>
            </w:pPr>
            <w:r>
              <w:rPr>
                <w:rFonts w:hint="eastAsia" w:ascii="宋体" w:hAnsi="宋体"/>
              </w:rPr>
              <w:t>较小</w:t>
            </w:r>
          </w:p>
        </w:tc>
      </w:tr>
      <w:tr w14:paraId="43385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502" w:type="dxa"/>
            <w:vMerge w:val="continue"/>
            <w:tcBorders>
              <w:right w:val="single" w:color="000000" w:sz="4" w:space="0"/>
              <w:tl2br w:val="nil"/>
              <w:tr2bl w:val="nil"/>
            </w:tcBorders>
            <w:vAlign w:val="center"/>
          </w:tcPr>
          <w:p w14:paraId="30C9DBE9">
            <w:pPr>
              <w:jc w:val="center"/>
            </w:pPr>
          </w:p>
        </w:tc>
        <w:tc>
          <w:tcPr>
            <w:tcW w:w="1395" w:type="dxa"/>
            <w:vMerge w:val="restart"/>
            <w:tcBorders>
              <w:top w:val="single" w:color="000000" w:sz="4" w:space="0"/>
              <w:left w:val="single" w:color="000000" w:sz="4" w:space="0"/>
              <w:tl2br w:val="nil"/>
              <w:tr2bl w:val="nil"/>
            </w:tcBorders>
            <w:vAlign w:val="center"/>
          </w:tcPr>
          <w:p w14:paraId="13354DAB">
            <w:pPr>
              <w:jc w:val="center"/>
            </w:pPr>
            <w:r>
              <w:rPr>
                <w:rFonts w:hint="eastAsia"/>
              </w:rPr>
              <w:t>决策可行性</w:t>
            </w:r>
          </w:p>
        </w:tc>
        <w:tc>
          <w:tcPr>
            <w:tcW w:w="3525" w:type="dxa"/>
            <w:tcBorders>
              <w:top w:val="single" w:color="000000" w:sz="4" w:space="0"/>
              <w:right w:val="single" w:color="000000" w:sz="4" w:space="0"/>
              <w:tl2br w:val="nil"/>
              <w:tr2bl w:val="nil"/>
            </w:tcBorders>
          </w:tcPr>
          <w:p w14:paraId="131B9627">
            <w:pPr>
              <w:rPr>
                <w:rFonts w:ascii="宋体" w:hAnsi="宋体"/>
              </w:rPr>
            </w:pPr>
            <w:r>
              <w:rPr>
                <w:rFonts w:hint="eastAsia" w:ascii="宋体" w:hAnsi="宋体"/>
              </w:rPr>
              <w:t>是否充分考虑到时间、空间、人力、物力、财力等制约因素</w:t>
            </w:r>
          </w:p>
        </w:tc>
        <w:tc>
          <w:tcPr>
            <w:tcW w:w="900" w:type="dxa"/>
            <w:tcBorders>
              <w:top w:val="single" w:color="000000" w:sz="4" w:space="0"/>
              <w:left w:val="single" w:color="000000" w:sz="4" w:space="0"/>
              <w:right w:val="single" w:color="000000" w:sz="4" w:space="0"/>
              <w:tl2br w:val="nil"/>
              <w:tr2bl w:val="nil"/>
            </w:tcBorders>
            <w:vAlign w:val="center"/>
          </w:tcPr>
          <w:p w14:paraId="669D97F5">
            <w:pPr>
              <w:jc w:val="center"/>
              <w:rPr>
                <w:rFonts w:ascii="宋体" w:hAnsi="宋体"/>
              </w:rPr>
            </w:pPr>
            <w:r>
              <w:rPr>
                <w:rFonts w:hint="eastAsia" w:ascii="宋体" w:hAnsi="宋体"/>
              </w:rPr>
              <w:t>较低</w:t>
            </w:r>
          </w:p>
        </w:tc>
        <w:tc>
          <w:tcPr>
            <w:tcW w:w="900" w:type="dxa"/>
            <w:tcBorders>
              <w:top w:val="single" w:color="000000" w:sz="4" w:space="0"/>
              <w:left w:val="single" w:color="000000" w:sz="4" w:space="0"/>
              <w:right w:val="single" w:color="000000" w:sz="4" w:space="0"/>
              <w:tl2br w:val="nil"/>
              <w:tr2bl w:val="nil"/>
            </w:tcBorders>
            <w:vAlign w:val="center"/>
          </w:tcPr>
          <w:p w14:paraId="17CB79E5">
            <w:pPr>
              <w:jc w:val="center"/>
              <w:rPr>
                <w:rFonts w:ascii="宋体" w:hAnsi="宋体"/>
              </w:rPr>
            </w:pPr>
            <w:r>
              <w:rPr>
                <w:rFonts w:hint="eastAsia" w:ascii="宋体" w:hAnsi="宋体"/>
              </w:rPr>
              <w:t>中等</w:t>
            </w:r>
          </w:p>
        </w:tc>
        <w:tc>
          <w:tcPr>
            <w:tcW w:w="906" w:type="dxa"/>
            <w:tcBorders>
              <w:top w:val="single" w:color="000000" w:sz="4" w:space="0"/>
              <w:left w:val="single" w:color="000000" w:sz="4" w:space="0"/>
              <w:tl2br w:val="nil"/>
              <w:tr2bl w:val="nil"/>
            </w:tcBorders>
            <w:vAlign w:val="center"/>
          </w:tcPr>
          <w:p w14:paraId="2C84E006">
            <w:pPr>
              <w:jc w:val="center"/>
              <w:rPr>
                <w:rFonts w:ascii="宋体" w:hAnsi="宋体"/>
              </w:rPr>
            </w:pPr>
            <w:r>
              <w:rPr>
                <w:rFonts w:hint="eastAsia" w:ascii="宋体" w:hAnsi="宋体"/>
              </w:rPr>
              <w:t>一般</w:t>
            </w:r>
          </w:p>
        </w:tc>
      </w:tr>
      <w:tr w14:paraId="3D3EE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2" w:type="dxa"/>
            <w:tcBorders>
              <w:right w:val="single" w:color="000000" w:sz="4" w:space="0"/>
              <w:tl2br w:val="nil"/>
              <w:tr2bl w:val="nil"/>
            </w:tcBorders>
            <w:vAlign w:val="center"/>
          </w:tcPr>
          <w:p w14:paraId="0090F645">
            <w:pPr>
              <w:jc w:val="center"/>
              <w:rPr>
                <w:rFonts w:ascii="宋体" w:hAnsi="宋体" w:cs="宋体"/>
                <w:sz w:val="24"/>
              </w:rPr>
            </w:pPr>
            <w:r>
              <w:rPr>
                <w:rFonts w:hint="eastAsia"/>
              </w:rPr>
              <w:t>3</w:t>
            </w:r>
          </w:p>
        </w:tc>
        <w:tc>
          <w:tcPr>
            <w:tcW w:w="1395" w:type="dxa"/>
            <w:vMerge w:val="continue"/>
            <w:tcBorders>
              <w:left w:val="single" w:color="000000" w:sz="4" w:space="0"/>
              <w:tl2br w:val="nil"/>
              <w:tr2bl w:val="nil"/>
            </w:tcBorders>
            <w:vAlign w:val="center"/>
          </w:tcPr>
          <w:p w14:paraId="2128B4BA">
            <w:pPr>
              <w:jc w:val="center"/>
            </w:pPr>
          </w:p>
        </w:tc>
        <w:tc>
          <w:tcPr>
            <w:tcW w:w="3525" w:type="dxa"/>
            <w:tcBorders>
              <w:right w:val="single" w:color="000000" w:sz="4" w:space="0"/>
              <w:tl2br w:val="nil"/>
              <w:tr2bl w:val="nil"/>
            </w:tcBorders>
          </w:tcPr>
          <w:p w14:paraId="37770C99">
            <w:pPr>
              <w:rPr>
                <w:rFonts w:ascii="宋体" w:hAnsi="宋体"/>
              </w:rPr>
            </w:pPr>
            <w:r>
              <w:rPr>
                <w:rFonts w:hint="eastAsia" w:ascii="宋体" w:hAnsi="宋体"/>
              </w:rPr>
              <w:t>决策方案是否具体、详实，配套措施是否完善</w:t>
            </w:r>
          </w:p>
        </w:tc>
        <w:tc>
          <w:tcPr>
            <w:tcW w:w="900" w:type="dxa"/>
            <w:tcBorders>
              <w:left w:val="single" w:color="000000" w:sz="4" w:space="0"/>
              <w:right w:val="single" w:color="000000" w:sz="4" w:space="0"/>
              <w:tl2br w:val="nil"/>
              <w:tr2bl w:val="nil"/>
            </w:tcBorders>
            <w:vAlign w:val="center"/>
          </w:tcPr>
          <w:p w14:paraId="76BA7C02">
            <w:pPr>
              <w:jc w:val="center"/>
              <w:rPr>
                <w:rFonts w:ascii="宋体" w:hAnsi="宋体"/>
              </w:rPr>
            </w:pPr>
            <w:r>
              <w:rPr>
                <w:rFonts w:hint="eastAsia" w:ascii="宋体" w:hAnsi="宋体"/>
              </w:rPr>
              <w:t>较低</w:t>
            </w:r>
          </w:p>
        </w:tc>
        <w:tc>
          <w:tcPr>
            <w:tcW w:w="900" w:type="dxa"/>
            <w:tcBorders>
              <w:left w:val="single" w:color="000000" w:sz="4" w:space="0"/>
              <w:right w:val="single" w:color="000000" w:sz="4" w:space="0"/>
              <w:tl2br w:val="nil"/>
              <w:tr2bl w:val="nil"/>
            </w:tcBorders>
            <w:vAlign w:val="center"/>
          </w:tcPr>
          <w:p w14:paraId="19A45A69">
            <w:pPr>
              <w:jc w:val="center"/>
              <w:rPr>
                <w:rFonts w:ascii="宋体" w:hAnsi="宋体"/>
              </w:rPr>
            </w:pPr>
            <w:r>
              <w:rPr>
                <w:rFonts w:hint="eastAsia" w:ascii="宋体" w:hAnsi="宋体"/>
              </w:rPr>
              <w:t>较小</w:t>
            </w:r>
          </w:p>
        </w:tc>
        <w:tc>
          <w:tcPr>
            <w:tcW w:w="906" w:type="dxa"/>
            <w:tcBorders>
              <w:left w:val="single" w:color="000000" w:sz="4" w:space="0"/>
              <w:tl2br w:val="nil"/>
              <w:tr2bl w:val="nil"/>
            </w:tcBorders>
            <w:vAlign w:val="center"/>
          </w:tcPr>
          <w:p w14:paraId="084CEC4D">
            <w:pPr>
              <w:jc w:val="center"/>
              <w:rPr>
                <w:rFonts w:ascii="宋体" w:hAnsi="宋体"/>
              </w:rPr>
            </w:pPr>
            <w:r>
              <w:rPr>
                <w:rFonts w:hint="eastAsia" w:ascii="宋体" w:hAnsi="宋体"/>
              </w:rPr>
              <w:t>较小</w:t>
            </w:r>
          </w:p>
        </w:tc>
      </w:tr>
      <w:tr w14:paraId="1CB39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2" w:type="dxa"/>
            <w:tcBorders>
              <w:right w:val="single" w:color="000000" w:sz="4" w:space="0"/>
              <w:tl2br w:val="nil"/>
              <w:tr2bl w:val="nil"/>
            </w:tcBorders>
            <w:vAlign w:val="center"/>
          </w:tcPr>
          <w:p w14:paraId="00D3BFC0">
            <w:pPr>
              <w:jc w:val="center"/>
              <w:rPr>
                <w:rFonts w:ascii="宋体" w:hAnsi="宋体" w:cs="宋体"/>
                <w:sz w:val="24"/>
              </w:rPr>
            </w:pPr>
            <w:r>
              <w:rPr>
                <w:rFonts w:hint="eastAsia"/>
              </w:rPr>
              <w:t>4</w:t>
            </w:r>
          </w:p>
        </w:tc>
        <w:tc>
          <w:tcPr>
            <w:tcW w:w="1395" w:type="dxa"/>
            <w:vMerge w:val="restart"/>
            <w:tcBorders>
              <w:left w:val="single" w:color="000000" w:sz="4" w:space="0"/>
              <w:tl2br w:val="nil"/>
              <w:tr2bl w:val="nil"/>
            </w:tcBorders>
            <w:vAlign w:val="center"/>
          </w:tcPr>
          <w:p w14:paraId="0C4F1063">
            <w:pPr>
              <w:jc w:val="center"/>
            </w:pPr>
            <w:r>
              <w:rPr>
                <w:rFonts w:hint="eastAsia"/>
              </w:rPr>
              <w:t>公平性</w:t>
            </w:r>
          </w:p>
        </w:tc>
        <w:tc>
          <w:tcPr>
            <w:tcW w:w="3525" w:type="dxa"/>
            <w:tcBorders>
              <w:right w:val="single" w:color="000000" w:sz="4" w:space="0"/>
              <w:tl2br w:val="nil"/>
              <w:tr2bl w:val="nil"/>
            </w:tcBorders>
          </w:tcPr>
          <w:p w14:paraId="2EF2A8CB">
            <w:pPr>
              <w:rPr>
                <w:rFonts w:ascii="宋体" w:hAnsi="宋体"/>
              </w:rPr>
            </w:pPr>
            <w:r>
              <w:rPr>
                <w:rFonts w:hint="eastAsia" w:ascii="宋体" w:hAnsi="宋体"/>
              </w:rPr>
              <w:t>是否引发失业率增加</w:t>
            </w:r>
          </w:p>
        </w:tc>
        <w:tc>
          <w:tcPr>
            <w:tcW w:w="900" w:type="dxa"/>
            <w:tcBorders>
              <w:left w:val="single" w:color="000000" w:sz="4" w:space="0"/>
              <w:right w:val="single" w:color="000000" w:sz="4" w:space="0"/>
              <w:tl2br w:val="nil"/>
              <w:tr2bl w:val="nil"/>
            </w:tcBorders>
            <w:vAlign w:val="center"/>
          </w:tcPr>
          <w:p w14:paraId="4E6E17F4">
            <w:pPr>
              <w:jc w:val="center"/>
              <w:rPr>
                <w:rFonts w:ascii="宋体" w:hAnsi="宋体" w:eastAsia="宋体"/>
              </w:rPr>
            </w:pPr>
            <w:r>
              <w:rPr>
                <w:rFonts w:hint="eastAsia" w:ascii="宋体" w:hAnsi="宋体" w:eastAsia="宋体"/>
              </w:rPr>
              <w:t>较低</w:t>
            </w:r>
          </w:p>
        </w:tc>
        <w:tc>
          <w:tcPr>
            <w:tcW w:w="900" w:type="dxa"/>
            <w:tcBorders>
              <w:left w:val="single" w:color="000000" w:sz="4" w:space="0"/>
              <w:right w:val="single" w:color="000000" w:sz="4" w:space="0"/>
              <w:tl2br w:val="nil"/>
              <w:tr2bl w:val="nil"/>
            </w:tcBorders>
            <w:vAlign w:val="center"/>
          </w:tcPr>
          <w:p w14:paraId="21EDA94A">
            <w:pPr>
              <w:jc w:val="center"/>
              <w:rPr>
                <w:rFonts w:ascii="宋体" w:hAnsi="宋体" w:eastAsia="宋体"/>
              </w:rPr>
            </w:pPr>
            <w:r>
              <w:rPr>
                <w:rFonts w:hint="eastAsia" w:ascii="宋体" w:hAnsi="宋体" w:eastAsia="宋体"/>
              </w:rPr>
              <w:t>较小</w:t>
            </w:r>
          </w:p>
        </w:tc>
        <w:tc>
          <w:tcPr>
            <w:tcW w:w="906" w:type="dxa"/>
            <w:tcBorders>
              <w:left w:val="single" w:color="000000" w:sz="4" w:space="0"/>
              <w:tl2br w:val="nil"/>
              <w:tr2bl w:val="nil"/>
            </w:tcBorders>
            <w:vAlign w:val="center"/>
          </w:tcPr>
          <w:p w14:paraId="525A86ED">
            <w:pPr>
              <w:jc w:val="center"/>
              <w:rPr>
                <w:rFonts w:ascii="宋体" w:hAnsi="宋体" w:eastAsia="宋体"/>
              </w:rPr>
            </w:pPr>
            <w:r>
              <w:rPr>
                <w:rFonts w:hint="eastAsia" w:ascii="宋体" w:hAnsi="宋体"/>
              </w:rPr>
              <w:t>较小</w:t>
            </w:r>
          </w:p>
        </w:tc>
      </w:tr>
      <w:tr w14:paraId="2BD93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502" w:type="dxa"/>
            <w:tcBorders>
              <w:bottom w:val="single" w:color="000000" w:sz="4" w:space="0"/>
              <w:right w:val="single" w:color="000000" w:sz="4" w:space="0"/>
              <w:tl2br w:val="nil"/>
              <w:tr2bl w:val="nil"/>
            </w:tcBorders>
            <w:vAlign w:val="center"/>
          </w:tcPr>
          <w:p w14:paraId="1ED87984">
            <w:pPr>
              <w:jc w:val="center"/>
              <w:rPr>
                <w:rFonts w:ascii="宋体" w:hAnsi="宋体" w:cs="宋体"/>
                <w:sz w:val="24"/>
              </w:rPr>
            </w:pPr>
            <w:r>
              <w:rPr>
                <w:rFonts w:hint="eastAsia"/>
              </w:rPr>
              <w:t>5</w:t>
            </w:r>
          </w:p>
        </w:tc>
        <w:tc>
          <w:tcPr>
            <w:tcW w:w="1395" w:type="dxa"/>
            <w:vMerge w:val="continue"/>
            <w:tcBorders>
              <w:left w:val="single" w:color="000000" w:sz="4" w:space="0"/>
              <w:bottom w:val="single" w:color="000000" w:sz="4" w:space="0"/>
              <w:tl2br w:val="nil"/>
              <w:tr2bl w:val="nil"/>
            </w:tcBorders>
            <w:vAlign w:val="center"/>
          </w:tcPr>
          <w:p w14:paraId="008BBC5E">
            <w:pPr>
              <w:jc w:val="center"/>
            </w:pPr>
          </w:p>
        </w:tc>
        <w:tc>
          <w:tcPr>
            <w:tcW w:w="3525" w:type="dxa"/>
            <w:tcBorders>
              <w:bottom w:val="single" w:color="000000" w:sz="4" w:space="0"/>
              <w:right w:val="single" w:color="000000" w:sz="4" w:space="0"/>
              <w:tl2br w:val="nil"/>
              <w:tr2bl w:val="nil"/>
            </w:tcBorders>
          </w:tcPr>
          <w:p w14:paraId="278343D5">
            <w:pPr>
              <w:rPr>
                <w:rFonts w:ascii="宋体" w:hAnsi="宋体"/>
              </w:rPr>
            </w:pPr>
            <w:r>
              <w:rPr>
                <w:rFonts w:hint="eastAsia" w:ascii="宋体" w:hAnsi="宋体"/>
              </w:rPr>
              <w:t>是否导致新的收入分配不公、贫富差距加大</w:t>
            </w:r>
          </w:p>
        </w:tc>
        <w:tc>
          <w:tcPr>
            <w:tcW w:w="900" w:type="dxa"/>
            <w:tcBorders>
              <w:left w:val="single" w:color="000000" w:sz="4" w:space="0"/>
              <w:bottom w:val="single" w:color="000000" w:sz="4" w:space="0"/>
              <w:right w:val="single" w:color="000000" w:sz="4" w:space="0"/>
              <w:tl2br w:val="nil"/>
              <w:tr2bl w:val="nil"/>
            </w:tcBorders>
            <w:vAlign w:val="center"/>
          </w:tcPr>
          <w:p w14:paraId="6CA79E46">
            <w:pPr>
              <w:jc w:val="center"/>
              <w:rPr>
                <w:rFonts w:ascii="宋体" w:hAnsi="宋体" w:eastAsia="宋体"/>
              </w:rPr>
            </w:pPr>
            <w:r>
              <w:rPr>
                <w:rFonts w:hint="eastAsia" w:ascii="宋体" w:hAnsi="宋体" w:eastAsia="宋体"/>
              </w:rPr>
              <w:t>较低</w:t>
            </w:r>
          </w:p>
        </w:tc>
        <w:tc>
          <w:tcPr>
            <w:tcW w:w="900" w:type="dxa"/>
            <w:tcBorders>
              <w:left w:val="single" w:color="000000" w:sz="4" w:space="0"/>
              <w:bottom w:val="single" w:color="000000" w:sz="4" w:space="0"/>
              <w:right w:val="single" w:color="000000" w:sz="4" w:space="0"/>
              <w:tl2br w:val="nil"/>
              <w:tr2bl w:val="nil"/>
            </w:tcBorders>
            <w:vAlign w:val="center"/>
          </w:tcPr>
          <w:p w14:paraId="711837A2">
            <w:pPr>
              <w:jc w:val="center"/>
              <w:rPr>
                <w:rFonts w:ascii="宋体" w:hAnsi="宋体" w:eastAsia="宋体"/>
              </w:rPr>
            </w:pPr>
            <w:r>
              <w:rPr>
                <w:rFonts w:hint="eastAsia" w:ascii="宋体" w:hAnsi="宋体" w:eastAsia="宋体"/>
              </w:rPr>
              <w:t>较小</w:t>
            </w:r>
          </w:p>
        </w:tc>
        <w:tc>
          <w:tcPr>
            <w:tcW w:w="906" w:type="dxa"/>
            <w:tcBorders>
              <w:left w:val="single" w:color="000000" w:sz="4" w:space="0"/>
              <w:bottom w:val="single" w:color="000000" w:sz="4" w:space="0"/>
              <w:tl2br w:val="nil"/>
              <w:tr2bl w:val="nil"/>
            </w:tcBorders>
            <w:vAlign w:val="center"/>
          </w:tcPr>
          <w:p w14:paraId="782A8AAA">
            <w:pPr>
              <w:jc w:val="center"/>
              <w:rPr>
                <w:rFonts w:ascii="宋体" w:hAnsi="宋体" w:eastAsia="宋体"/>
              </w:rPr>
            </w:pPr>
            <w:r>
              <w:rPr>
                <w:rFonts w:hint="eastAsia" w:ascii="宋体" w:hAnsi="宋体" w:eastAsia="宋体"/>
              </w:rPr>
              <w:t>较小</w:t>
            </w:r>
          </w:p>
        </w:tc>
      </w:tr>
      <w:tr w14:paraId="7E701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502" w:type="dxa"/>
            <w:tcBorders>
              <w:right w:val="single" w:color="000000" w:sz="4" w:space="0"/>
              <w:tl2br w:val="nil"/>
              <w:tr2bl w:val="nil"/>
            </w:tcBorders>
            <w:vAlign w:val="center"/>
          </w:tcPr>
          <w:p w14:paraId="176AFBCA">
            <w:pPr>
              <w:jc w:val="center"/>
            </w:pPr>
            <w:r>
              <w:rPr>
                <w:rFonts w:hint="eastAsia"/>
              </w:rPr>
              <w:t>6</w:t>
            </w:r>
          </w:p>
        </w:tc>
        <w:tc>
          <w:tcPr>
            <w:tcW w:w="1395" w:type="dxa"/>
            <w:tcBorders>
              <w:left w:val="single" w:color="000000" w:sz="4" w:space="0"/>
              <w:tl2br w:val="nil"/>
              <w:tr2bl w:val="nil"/>
            </w:tcBorders>
            <w:vAlign w:val="center"/>
          </w:tcPr>
          <w:p w14:paraId="4CA3255E">
            <w:pPr>
              <w:jc w:val="center"/>
            </w:pPr>
            <w:r>
              <w:rPr>
                <w:rFonts w:hint="eastAsia"/>
              </w:rPr>
              <w:t>安全可控性</w:t>
            </w:r>
          </w:p>
        </w:tc>
        <w:tc>
          <w:tcPr>
            <w:tcW w:w="3525" w:type="dxa"/>
            <w:tcBorders>
              <w:right w:val="single" w:color="000000" w:sz="4" w:space="0"/>
              <w:tl2br w:val="nil"/>
              <w:tr2bl w:val="nil"/>
            </w:tcBorders>
          </w:tcPr>
          <w:p w14:paraId="51011515">
            <w:pPr>
              <w:rPr>
                <w:rFonts w:ascii="宋体" w:hAnsi="宋体"/>
              </w:rPr>
            </w:pPr>
            <w:r>
              <w:rPr>
                <w:rFonts w:hint="eastAsia" w:ascii="宋体" w:hAnsi="宋体"/>
              </w:rPr>
              <w:t>学校周边环境对儿童是否存在安全隐患</w:t>
            </w:r>
          </w:p>
        </w:tc>
        <w:tc>
          <w:tcPr>
            <w:tcW w:w="900" w:type="dxa"/>
            <w:tcBorders>
              <w:left w:val="single" w:color="000000" w:sz="4" w:space="0"/>
              <w:right w:val="single" w:color="000000" w:sz="4" w:space="0"/>
              <w:tl2br w:val="nil"/>
              <w:tr2bl w:val="nil"/>
            </w:tcBorders>
            <w:vAlign w:val="center"/>
          </w:tcPr>
          <w:p w14:paraId="33BBA428">
            <w:pPr>
              <w:jc w:val="center"/>
              <w:rPr>
                <w:rFonts w:ascii="宋体" w:hAnsi="宋体"/>
              </w:rPr>
            </w:pPr>
            <w:r>
              <w:rPr>
                <w:rFonts w:hint="eastAsia" w:ascii="宋体" w:hAnsi="宋体"/>
              </w:rPr>
              <w:t>中等</w:t>
            </w:r>
          </w:p>
        </w:tc>
        <w:tc>
          <w:tcPr>
            <w:tcW w:w="900" w:type="dxa"/>
            <w:tcBorders>
              <w:left w:val="single" w:color="000000" w:sz="4" w:space="0"/>
              <w:right w:val="single" w:color="000000" w:sz="4" w:space="0"/>
              <w:tl2br w:val="nil"/>
              <w:tr2bl w:val="nil"/>
            </w:tcBorders>
            <w:vAlign w:val="center"/>
          </w:tcPr>
          <w:p w14:paraId="616EB61D">
            <w:pPr>
              <w:jc w:val="center"/>
              <w:rPr>
                <w:rFonts w:ascii="宋体" w:hAnsi="宋体"/>
              </w:rPr>
            </w:pPr>
            <w:r>
              <w:rPr>
                <w:rFonts w:hint="eastAsia" w:ascii="宋体" w:hAnsi="宋体"/>
              </w:rPr>
              <w:t>中等</w:t>
            </w:r>
          </w:p>
        </w:tc>
        <w:tc>
          <w:tcPr>
            <w:tcW w:w="906" w:type="dxa"/>
            <w:tcBorders>
              <w:left w:val="single" w:color="000000" w:sz="4" w:space="0"/>
              <w:tl2br w:val="nil"/>
              <w:tr2bl w:val="nil"/>
            </w:tcBorders>
            <w:vAlign w:val="center"/>
          </w:tcPr>
          <w:p w14:paraId="52D3F073">
            <w:pPr>
              <w:jc w:val="center"/>
              <w:rPr>
                <w:rFonts w:ascii="宋体" w:hAnsi="宋体"/>
              </w:rPr>
            </w:pPr>
            <w:r>
              <w:rPr>
                <w:rFonts w:hint="eastAsia" w:ascii="宋体" w:hAnsi="宋体"/>
              </w:rPr>
              <w:t>一般</w:t>
            </w:r>
          </w:p>
        </w:tc>
      </w:tr>
      <w:tr w14:paraId="5D486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502" w:type="dxa"/>
            <w:tcBorders>
              <w:top w:val="single" w:color="000000" w:sz="4" w:space="0"/>
              <w:bottom w:val="single" w:color="000000" w:sz="4" w:space="0"/>
              <w:right w:val="single" w:color="000000" w:sz="4" w:space="0"/>
              <w:tl2br w:val="nil"/>
              <w:tr2bl w:val="nil"/>
            </w:tcBorders>
            <w:vAlign w:val="center"/>
          </w:tcPr>
          <w:p w14:paraId="741F942E">
            <w:pPr>
              <w:jc w:val="center"/>
            </w:pPr>
            <w:r>
              <w:rPr>
                <w:rFonts w:hint="eastAsia"/>
              </w:rPr>
              <w:t>8</w:t>
            </w:r>
          </w:p>
        </w:tc>
        <w:tc>
          <w:tcPr>
            <w:tcW w:w="1395" w:type="dxa"/>
            <w:vMerge w:val="restart"/>
            <w:tcBorders>
              <w:top w:val="single" w:color="000000" w:sz="4" w:space="0"/>
              <w:left w:val="single" w:color="000000" w:sz="4" w:space="0"/>
              <w:tl2br w:val="nil"/>
              <w:tr2bl w:val="nil"/>
            </w:tcBorders>
            <w:vAlign w:val="center"/>
          </w:tcPr>
          <w:p w14:paraId="0B80ACC7">
            <w:pPr>
              <w:jc w:val="center"/>
            </w:pPr>
            <w:r>
              <w:rPr>
                <w:rFonts w:hint="eastAsia"/>
              </w:rPr>
              <w:t>决策执行力</w:t>
            </w:r>
          </w:p>
        </w:tc>
        <w:tc>
          <w:tcPr>
            <w:tcW w:w="3525" w:type="dxa"/>
            <w:tcBorders>
              <w:top w:val="single" w:color="000000" w:sz="4" w:space="0"/>
              <w:bottom w:val="single" w:color="000000" w:sz="4" w:space="0"/>
              <w:right w:val="single" w:color="000000" w:sz="4" w:space="0"/>
              <w:tl2br w:val="nil"/>
              <w:tr2bl w:val="nil"/>
            </w:tcBorders>
          </w:tcPr>
          <w:p w14:paraId="75C2C701">
            <w:pPr>
              <w:rPr>
                <w:rFonts w:ascii="宋体" w:hAnsi="宋体"/>
              </w:rPr>
            </w:pPr>
            <w:r>
              <w:rPr>
                <w:rFonts w:hint="eastAsia" w:ascii="宋体" w:hAnsi="宋体"/>
              </w:rPr>
              <w:t>政府监管水平</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14:paraId="37ACE26A">
            <w:pPr>
              <w:jc w:val="center"/>
              <w:rPr>
                <w:rFonts w:ascii="宋体" w:hAnsi="宋体"/>
              </w:rPr>
            </w:pPr>
            <w:r>
              <w:rPr>
                <w:rFonts w:hint="eastAsia" w:ascii="宋体" w:hAnsi="宋体"/>
              </w:rPr>
              <w:t>较低</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14:paraId="15E805FF">
            <w:pPr>
              <w:jc w:val="center"/>
              <w:rPr>
                <w:rFonts w:ascii="宋体" w:hAnsi="宋体"/>
              </w:rPr>
            </w:pPr>
            <w:r>
              <w:rPr>
                <w:rFonts w:hint="eastAsia" w:ascii="宋体" w:hAnsi="宋体"/>
              </w:rPr>
              <w:t>中等</w:t>
            </w:r>
          </w:p>
        </w:tc>
        <w:tc>
          <w:tcPr>
            <w:tcW w:w="906" w:type="dxa"/>
            <w:tcBorders>
              <w:top w:val="single" w:color="000000" w:sz="4" w:space="0"/>
              <w:left w:val="single" w:color="000000" w:sz="4" w:space="0"/>
              <w:bottom w:val="single" w:color="000000" w:sz="4" w:space="0"/>
              <w:tl2br w:val="nil"/>
              <w:tr2bl w:val="nil"/>
            </w:tcBorders>
            <w:vAlign w:val="center"/>
          </w:tcPr>
          <w:p w14:paraId="5F102FFC">
            <w:pPr>
              <w:jc w:val="center"/>
              <w:rPr>
                <w:rFonts w:ascii="宋体" w:hAnsi="宋体"/>
              </w:rPr>
            </w:pPr>
            <w:r>
              <w:rPr>
                <w:rFonts w:hint="eastAsia" w:ascii="宋体" w:hAnsi="宋体"/>
              </w:rPr>
              <w:t>一般</w:t>
            </w:r>
          </w:p>
        </w:tc>
      </w:tr>
      <w:tr w14:paraId="104D9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 w:hRule="atLeast"/>
          <w:jc w:val="center"/>
        </w:trPr>
        <w:tc>
          <w:tcPr>
            <w:tcW w:w="502" w:type="dxa"/>
            <w:tcBorders>
              <w:top w:val="single" w:color="000000" w:sz="4" w:space="0"/>
              <w:right w:val="single" w:color="000000" w:sz="4" w:space="0"/>
              <w:tl2br w:val="nil"/>
              <w:tr2bl w:val="nil"/>
            </w:tcBorders>
            <w:vAlign w:val="center"/>
          </w:tcPr>
          <w:p w14:paraId="44A2C1F1">
            <w:pPr>
              <w:jc w:val="center"/>
            </w:pPr>
            <w:r>
              <w:rPr>
                <w:rFonts w:hint="eastAsia"/>
              </w:rPr>
              <w:t>9</w:t>
            </w:r>
          </w:p>
        </w:tc>
        <w:tc>
          <w:tcPr>
            <w:tcW w:w="1395" w:type="dxa"/>
            <w:vMerge w:val="continue"/>
            <w:tcBorders>
              <w:left w:val="single" w:color="000000" w:sz="4" w:space="0"/>
              <w:tl2br w:val="nil"/>
              <w:tr2bl w:val="nil"/>
            </w:tcBorders>
            <w:vAlign w:val="center"/>
          </w:tcPr>
          <w:p w14:paraId="3A933B52">
            <w:pPr>
              <w:jc w:val="center"/>
            </w:pPr>
          </w:p>
        </w:tc>
        <w:tc>
          <w:tcPr>
            <w:tcW w:w="3525" w:type="dxa"/>
            <w:tcBorders>
              <w:top w:val="single" w:color="000000" w:sz="4" w:space="0"/>
              <w:right w:val="single" w:color="000000" w:sz="4" w:space="0"/>
              <w:tl2br w:val="nil"/>
              <w:tr2bl w:val="nil"/>
            </w:tcBorders>
          </w:tcPr>
          <w:p w14:paraId="02D3ED74">
            <w:pPr>
              <w:rPr>
                <w:rFonts w:ascii="宋体" w:hAnsi="宋体"/>
              </w:rPr>
            </w:pPr>
            <w:r>
              <w:rPr>
                <w:rFonts w:hint="eastAsia" w:ascii="宋体" w:hAnsi="宋体"/>
                <w:spacing w:val="-4"/>
              </w:rPr>
              <w:t>舆论宣传引导、网络打防管控能力及对负面舆论、恶意炒作应对能力</w:t>
            </w:r>
          </w:p>
        </w:tc>
        <w:tc>
          <w:tcPr>
            <w:tcW w:w="900" w:type="dxa"/>
            <w:tcBorders>
              <w:top w:val="single" w:color="000000" w:sz="4" w:space="0"/>
              <w:left w:val="single" w:color="000000" w:sz="4" w:space="0"/>
              <w:right w:val="single" w:color="000000" w:sz="4" w:space="0"/>
              <w:tl2br w:val="nil"/>
              <w:tr2bl w:val="nil"/>
            </w:tcBorders>
            <w:vAlign w:val="center"/>
          </w:tcPr>
          <w:p w14:paraId="2325AC17">
            <w:pPr>
              <w:jc w:val="center"/>
              <w:rPr>
                <w:rFonts w:ascii="宋体" w:hAnsi="宋体" w:eastAsia="宋体"/>
                <w:spacing w:val="-4"/>
              </w:rPr>
            </w:pPr>
            <w:r>
              <w:rPr>
                <w:rFonts w:hint="eastAsia" w:ascii="宋体" w:hAnsi="宋体" w:eastAsia="宋体"/>
                <w:spacing w:val="-4"/>
              </w:rPr>
              <w:t>很低</w:t>
            </w:r>
          </w:p>
        </w:tc>
        <w:tc>
          <w:tcPr>
            <w:tcW w:w="900" w:type="dxa"/>
            <w:tcBorders>
              <w:top w:val="single" w:color="000000" w:sz="4" w:space="0"/>
              <w:left w:val="single" w:color="000000" w:sz="4" w:space="0"/>
              <w:right w:val="single" w:color="000000" w:sz="4" w:space="0"/>
              <w:tl2br w:val="nil"/>
              <w:tr2bl w:val="nil"/>
            </w:tcBorders>
            <w:vAlign w:val="center"/>
          </w:tcPr>
          <w:p w14:paraId="38DFA9D4">
            <w:pPr>
              <w:jc w:val="center"/>
              <w:rPr>
                <w:rFonts w:ascii="宋体" w:hAnsi="宋体" w:eastAsia="宋体"/>
                <w:spacing w:val="-4"/>
              </w:rPr>
            </w:pPr>
            <w:r>
              <w:rPr>
                <w:rFonts w:hint="eastAsia" w:ascii="宋体" w:hAnsi="宋体" w:eastAsia="宋体"/>
                <w:spacing w:val="-4"/>
              </w:rPr>
              <w:t>较小</w:t>
            </w:r>
          </w:p>
        </w:tc>
        <w:tc>
          <w:tcPr>
            <w:tcW w:w="906" w:type="dxa"/>
            <w:tcBorders>
              <w:top w:val="single" w:color="000000" w:sz="4" w:space="0"/>
              <w:left w:val="single" w:color="000000" w:sz="4" w:space="0"/>
              <w:tl2br w:val="nil"/>
              <w:tr2bl w:val="nil"/>
            </w:tcBorders>
            <w:vAlign w:val="center"/>
          </w:tcPr>
          <w:p w14:paraId="06B24FC1">
            <w:pPr>
              <w:jc w:val="center"/>
              <w:rPr>
                <w:rFonts w:ascii="宋体" w:hAnsi="宋体" w:eastAsia="宋体"/>
                <w:spacing w:val="-4"/>
              </w:rPr>
            </w:pPr>
            <w:r>
              <w:rPr>
                <w:rFonts w:hint="eastAsia" w:ascii="宋体" w:hAnsi="宋体"/>
              </w:rPr>
              <w:t>较小</w:t>
            </w:r>
          </w:p>
        </w:tc>
      </w:tr>
      <w:tr w14:paraId="2EC75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502" w:type="dxa"/>
            <w:tcBorders>
              <w:right w:val="single" w:color="000000" w:sz="4" w:space="0"/>
              <w:tl2br w:val="nil"/>
              <w:tr2bl w:val="nil"/>
            </w:tcBorders>
            <w:vAlign w:val="center"/>
          </w:tcPr>
          <w:p w14:paraId="6DE7E56E">
            <w:pPr>
              <w:jc w:val="center"/>
              <w:rPr>
                <w:rFonts w:ascii="宋体" w:hAnsi="宋体" w:cs="宋体"/>
                <w:sz w:val="24"/>
              </w:rPr>
            </w:pPr>
            <w:r>
              <w:rPr>
                <w:rFonts w:hint="eastAsia"/>
              </w:rPr>
              <w:t>10</w:t>
            </w:r>
          </w:p>
        </w:tc>
        <w:tc>
          <w:tcPr>
            <w:tcW w:w="1395" w:type="dxa"/>
            <w:vMerge w:val="continue"/>
            <w:tcBorders>
              <w:left w:val="single" w:color="000000" w:sz="4" w:space="0"/>
              <w:tl2br w:val="nil"/>
              <w:tr2bl w:val="nil"/>
            </w:tcBorders>
            <w:vAlign w:val="center"/>
          </w:tcPr>
          <w:p w14:paraId="74974D55">
            <w:pPr>
              <w:jc w:val="center"/>
            </w:pPr>
          </w:p>
        </w:tc>
        <w:tc>
          <w:tcPr>
            <w:tcW w:w="3525" w:type="dxa"/>
            <w:tcBorders>
              <w:right w:val="single" w:color="000000" w:sz="4" w:space="0"/>
              <w:tl2br w:val="nil"/>
              <w:tr2bl w:val="nil"/>
            </w:tcBorders>
          </w:tcPr>
          <w:p w14:paraId="4D4A46A6">
            <w:pPr>
              <w:rPr>
                <w:rFonts w:ascii="宋体" w:hAnsi="宋体"/>
              </w:rPr>
            </w:pPr>
            <w:r>
              <w:rPr>
                <w:rFonts w:hint="eastAsia" w:ascii="宋体" w:hAnsi="宋体"/>
              </w:rPr>
              <w:t>政府各职能部门信息沟通渠道是否畅通</w:t>
            </w:r>
          </w:p>
        </w:tc>
        <w:tc>
          <w:tcPr>
            <w:tcW w:w="900" w:type="dxa"/>
            <w:tcBorders>
              <w:left w:val="single" w:color="000000" w:sz="4" w:space="0"/>
              <w:right w:val="single" w:color="000000" w:sz="4" w:space="0"/>
              <w:tl2br w:val="nil"/>
              <w:tr2bl w:val="nil"/>
            </w:tcBorders>
            <w:vAlign w:val="center"/>
          </w:tcPr>
          <w:p w14:paraId="33B33DE2">
            <w:pPr>
              <w:jc w:val="center"/>
              <w:rPr>
                <w:rFonts w:ascii="宋体" w:hAnsi="宋体" w:eastAsia="宋体"/>
              </w:rPr>
            </w:pPr>
            <w:r>
              <w:rPr>
                <w:rFonts w:hint="eastAsia" w:ascii="宋体" w:hAnsi="宋体" w:eastAsia="宋体"/>
              </w:rPr>
              <w:t>较低</w:t>
            </w:r>
          </w:p>
        </w:tc>
        <w:tc>
          <w:tcPr>
            <w:tcW w:w="900" w:type="dxa"/>
            <w:tcBorders>
              <w:left w:val="single" w:color="000000" w:sz="4" w:space="0"/>
              <w:right w:val="single" w:color="000000" w:sz="4" w:space="0"/>
              <w:tl2br w:val="nil"/>
              <w:tr2bl w:val="nil"/>
            </w:tcBorders>
            <w:vAlign w:val="center"/>
          </w:tcPr>
          <w:p w14:paraId="3075527A">
            <w:pPr>
              <w:jc w:val="center"/>
              <w:rPr>
                <w:rFonts w:ascii="宋体" w:hAnsi="宋体" w:eastAsia="宋体"/>
              </w:rPr>
            </w:pPr>
            <w:r>
              <w:rPr>
                <w:rFonts w:hint="eastAsia" w:ascii="宋体" w:hAnsi="宋体" w:eastAsia="宋体"/>
              </w:rPr>
              <w:t>较小</w:t>
            </w:r>
          </w:p>
        </w:tc>
        <w:tc>
          <w:tcPr>
            <w:tcW w:w="906" w:type="dxa"/>
            <w:tcBorders>
              <w:left w:val="single" w:color="000000" w:sz="4" w:space="0"/>
              <w:tl2br w:val="nil"/>
              <w:tr2bl w:val="nil"/>
            </w:tcBorders>
            <w:vAlign w:val="center"/>
          </w:tcPr>
          <w:p w14:paraId="24B647B8">
            <w:pPr>
              <w:jc w:val="center"/>
              <w:rPr>
                <w:rFonts w:ascii="宋体" w:hAnsi="宋体" w:eastAsia="宋体"/>
              </w:rPr>
            </w:pPr>
            <w:r>
              <w:rPr>
                <w:rFonts w:hint="eastAsia" w:ascii="宋体" w:hAnsi="宋体"/>
              </w:rPr>
              <w:t>较小</w:t>
            </w:r>
          </w:p>
        </w:tc>
      </w:tr>
    </w:tbl>
    <w:p w14:paraId="49309D32"/>
    <w:p w14:paraId="08FFE293">
      <w:pPr>
        <w:spacing w:line="560" w:lineRule="exact"/>
        <w:ind w:firstLine="562" w:firstLineChars="200"/>
        <w:rPr>
          <w:rFonts w:ascii="宋体" w:hAnsi="宋体"/>
          <w:b/>
          <w:sz w:val="28"/>
          <w:szCs w:val="28"/>
        </w:rPr>
      </w:pPr>
      <w:r>
        <w:rPr>
          <w:rFonts w:hint="eastAsia" w:ascii="宋体" w:hAnsi="宋体"/>
          <w:b/>
          <w:sz w:val="28"/>
          <w:szCs w:val="28"/>
        </w:rPr>
        <w:t>（四）单因素风险定量分析</w:t>
      </w:r>
    </w:p>
    <w:p w14:paraId="7595F076">
      <w:pPr>
        <w:spacing w:line="560" w:lineRule="exact"/>
        <w:ind w:firstLine="560" w:firstLineChars="200"/>
        <w:rPr>
          <w:rFonts w:ascii="宋体" w:hAnsi="宋体"/>
          <w:sz w:val="28"/>
          <w:szCs w:val="28"/>
        </w:rPr>
      </w:pPr>
      <w:r>
        <w:rPr>
          <w:rFonts w:hint="eastAsia" w:ascii="宋体" w:hAnsi="宋体"/>
          <w:sz w:val="28"/>
          <w:szCs w:val="28"/>
        </w:rPr>
        <w:t>在决策单风险因素的风险概率和影响程度估计的基础上，按公式</w:t>
      </w:r>
      <w:bookmarkStart w:id="0" w:name="_GoBack"/>
      <w:bookmarkEnd w:id="0"/>
      <w:r>
        <w:rPr>
          <w:rFonts w:hint="eastAsia" w:ascii="宋体" w:hAnsi="宋体"/>
          <w:sz w:val="28"/>
          <w:szCs w:val="28"/>
        </w:rPr>
        <w:t>（风险程度=风险概率×影响程度）可得到每个风险因素的风险程度（见表-5）。</w:t>
      </w:r>
    </w:p>
    <w:p w14:paraId="36A011AD">
      <w:pPr>
        <w:spacing w:line="560" w:lineRule="exact"/>
        <w:ind w:firstLine="562" w:firstLineChars="200"/>
        <w:rPr>
          <w:rFonts w:ascii="宋体" w:hAnsi="宋体"/>
          <w:b/>
          <w:sz w:val="28"/>
          <w:szCs w:val="28"/>
        </w:rPr>
      </w:pPr>
      <w:r>
        <w:rPr>
          <w:rFonts w:hint="eastAsia" w:ascii="宋体" w:hAnsi="宋体"/>
          <w:b/>
          <w:sz w:val="28"/>
          <w:szCs w:val="28"/>
        </w:rPr>
        <w:t>（五）综合风险分析</w:t>
      </w:r>
    </w:p>
    <w:p w14:paraId="61713177">
      <w:pPr>
        <w:spacing w:line="560" w:lineRule="exact"/>
        <w:ind w:firstLine="560" w:firstLineChars="200"/>
        <w:rPr>
          <w:rFonts w:ascii="宋体" w:hAnsi="宋体"/>
          <w:sz w:val="28"/>
          <w:szCs w:val="28"/>
        </w:rPr>
      </w:pPr>
      <w:r>
        <w:rPr>
          <w:rFonts w:hint="eastAsia" w:ascii="宋体" w:hAnsi="宋体"/>
          <w:sz w:val="28"/>
          <w:szCs w:val="28"/>
        </w:rPr>
        <w:t>1.总体评判</w:t>
      </w:r>
    </w:p>
    <w:p w14:paraId="0FD53111">
      <w:pPr>
        <w:spacing w:line="560" w:lineRule="exact"/>
        <w:ind w:firstLine="560" w:firstLineChars="200"/>
        <w:rPr>
          <w:rFonts w:hint="eastAsia" w:ascii="宋体" w:hAnsi="宋体"/>
          <w:sz w:val="28"/>
          <w:szCs w:val="28"/>
        </w:rPr>
      </w:pPr>
      <w:r>
        <w:rPr>
          <w:rFonts w:hint="eastAsia" w:ascii="宋体" w:hAnsi="宋体"/>
          <w:sz w:val="28"/>
          <w:szCs w:val="28"/>
        </w:rPr>
        <w:t>此次重大决策总体上获得了社会各界的理解和支持，没有获知明确的反对意见。</w:t>
      </w:r>
    </w:p>
    <w:p w14:paraId="757A42DC">
      <w:pPr>
        <w:spacing w:line="560" w:lineRule="exact"/>
        <w:ind w:firstLine="560" w:firstLineChars="200"/>
        <w:rPr>
          <w:rFonts w:ascii="宋体" w:hAnsi="宋体"/>
          <w:sz w:val="28"/>
          <w:szCs w:val="28"/>
        </w:rPr>
      </w:pPr>
      <w:r>
        <w:rPr>
          <w:rFonts w:hint="eastAsia" w:ascii="宋体" w:hAnsi="宋体"/>
          <w:sz w:val="28"/>
          <w:szCs w:val="28"/>
        </w:rPr>
        <w:t>2.单因素风险程度</w:t>
      </w:r>
    </w:p>
    <w:p w14:paraId="190025FD">
      <w:pPr>
        <w:spacing w:line="560" w:lineRule="exact"/>
        <w:ind w:firstLine="560" w:firstLineChars="200"/>
        <w:rPr>
          <w:rFonts w:ascii="宋体" w:hAnsi="宋体"/>
          <w:sz w:val="28"/>
          <w:szCs w:val="28"/>
        </w:rPr>
      </w:pPr>
      <w:r>
        <w:rPr>
          <w:rFonts w:hint="eastAsia" w:ascii="宋体" w:hAnsi="宋体"/>
          <w:sz w:val="28"/>
          <w:szCs w:val="28"/>
        </w:rPr>
        <w:t>本决策采取风险防范、化解措施后，11个单风险因素中有3个风险因素的风险程度为“一般”，有7个风险因素的风险程度为“较小”。</w:t>
      </w:r>
    </w:p>
    <w:p w14:paraId="354A3862">
      <w:pPr>
        <w:spacing w:line="560" w:lineRule="exact"/>
        <w:ind w:firstLine="560" w:firstLineChars="200"/>
        <w:rPr>
          <w:rFonts w:ascii="宋体" w:hAnsi="宋体"/>
          <w:sz w:val="28"/>
          <w:szCs w:val="28"/>
        </w:rPr>
      </w:pPr>
      <w:r>
        <w:rPr>
          <w:rFonts w:hint="eastAsia" w:ascii="宋体" w:hAnsi="宋体"/>
          <w:sz w:val="28"/>
          <w:szCs w:val="28"/>
        </w:rPr>
        <w:t>3.综合风险指数</w:t>
      </w:r>
    </w:p>
    <w:p w14:paraId="14C0638A">
      <w:pPr>
        <w:spacing w:line="560" w:lineRule="exact"/>
        <w:ind w:firstLine="560" w:firstLineChars="200"/>
        <w:rPr>
          <w:rFonts w:ascii="宋体" w:hAnsi="宋体"/>
          <w:sz w:val="28"/>
          <w:szCs w:val="28"/>
        </w:rPr>
      </w:pPr>
      <w:r>
        <w:rPr>
          <w:rFonts w:hint="eastAsia" w:ascii="宋体" w:hAnsi="宋体"/>
          <w:sz w:val="28"/>
          <w:szCs w:val="28"/>
        </w:rPr>
        <w:t>经计算，在采取风险防范化解措施后综合风险指数为0.201484（见表-5），综合风险指数小于0.36（见表-6），判断《规划》决策风险等级为“低风险”。</w:t>
      </w:r>
    </w:p>
    <w:p w14:paraId="589884FF">
      <w:pPr>
        <w:spacing w:line="560" w:lineRule="exact"/>
        <w:ind w:firstLine="560" w:firstLineChars="200"/>
        <w:jc w:val="center"/>
        <w:rPr>
          <w:rFonts w:ascii="宋体" w:hAnsi="宋体" w:eastAsia="宋体" w:cs="宋体"/>
          <w:sz w:val="28"/>
          <w:szCs w:val="28"/>
        </w:rPr>
      </w:pPr>
    </w:p>
    <w:p w14:paraId="4170039E">
      <w:pPr>
        <w:spacing w:line="360" w:lineRule="auto"/>
        <w:jc w:val="center"/>
        <w:rPr>
          <w:rFonts w:ascii="宋体" w:hAnsi="宋体" w:eastAsia="宋体" w:cs="宋体"/>
          <w:sz w:val="24"/>
          <w:szCs w:val="24"/>
          <w:vertAlign w:val="superscript"/>
        </w:rPr>
      </w:pPr>
      <w:r>
        <w:rPr>
          <w:rFonts w:hint="eastAsia" w:ascii="宋体" w:hAnsi="宋体" w:eastAsia="宋体" w:cs="宋体"/>
          <w:sz w:val="24"/>
          <w:szCs w:val="24"/>
        </w:rPr>
        <w:t>表-6 用于《规划》社会稳定风险分析的指标体系和评判标准</w:t>
      </w:r>
    </w:p>
    <w:tbl>
      <w:tblPr>
        <w:tblStyle w:val="5"/>
        <w:tblW w:w="84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81"/>
        <w:gridCol w:w="2319"/>
        <w:gridCol w:w="2100"/>
        <w:gridCol w:w="2100"/>
      </w:tblGrid>
      <w:tr w14:paraId="3F1E8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1881" w:type="dxa"/>
            <w:noWrap/>
            <w:vAlign w:val="center"/>
          </w:tcPr>
          <w:p w14:paraId="492BAF57">
            <w:pPr>
              <w:spacing w:line="360" w:lineRule="auto"/>
              <w:jc w:val="center"/>
            </w:pPr>
            <w:r>
              <w:rPr>
                <w:rFonts w:hint="eastAsia"/>
              </w:rPr>
              <w:t>风险等级</w:t>
            </w:r>
          </w:p>
        </w:tc>
        <w:tc>
          <w:tcPr>
            <w:tcW w:w="2319" w:type="dxa"/>
            <w:noWrap/>
            <w:vAlign w:val="center"/>
          </w:tcPr>
          <w:p w14:paraId="62AFCD62">
            <w:pPr>
              <w:spacing w:line="360" w:lineRule="auto"/>
              <w:jc w:val="center"/>
            </w:pPr>
            <w:r>
              <w:rPr>
                <w:rFonts w:hint="eastAsia"/>
              </w:rPr>
              <w:t>高风险</w:t>
            </w:r>
          </w:p>
        </w:tc>
        <w:tc>
          <w:tcPr>
            <w:tcW w:w="2100" w:type="dxa"/>
            <w:noWrap/>
            <w:vAlign w:val="center"/>
          </w:tcPr>
          <w:p w14:paraId="0316B906">
            <w:pPr>
              <w:spacing w:line="360" w:lineRule="auto"/>
              <w:jc w:val="center"/>
            </w:pPr>
            <w:r>
              <w:rPr>
                <w:rFonts w:hint="eastAsia"/>
              </w:rPr>
              <w:t>中风险</w:t>
            </w:r>
          </w:p>
        </w:tc>
        <w:tc>
          <w:tcPr>
            <w:tcW w:w="2100" w:type="dxa"/>
            <w:noWrap/>
            <w:vAlign w:val="center"/>
          </w:tcPr>
          <w:p w14:paraId="51095999">
            <w:pPr>
              <w:spacing w:line="360" w:lineRule="auto"/>
              <w:jc w:val="center"/>
            </w:pPr>
            <w:r>
              <w:rPr>
                <w:rFonts w:hint="eastAsia"/>
              </w:rPr>
              <w:t>低风险</w:t>
            </w:r>
          </w:p>
        </w:tc>
      </w:tr>
      <w:tr w14:paraId="0D1FB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8" w:hRule="atLeast"/>
          <w:jc w:val="center"/>
        </w:trPr>
        <w:tc>
          <w:tcPr>
            <w:tcW w:w="1881" w:type="dxa"/>
            <w:noWrap/>
            <w:vAlign w:val="center"/>
          </w:tcPr>
          <w:p w14:paraId="79A0EEB5">
            <w:pPr>
              <w:spacing w:line="360" w:lineRule="auto"/>
              <w:jc w:val="center"/>
            </w:pPr>
            <w:r>
              <w:rPr>
                <w:rFonts w:hint="eastAsia"/>
              </w:rPr>
              <w:t>总体评判标准</w:t>
            </w:r>
          </w:p>
        </w:tc>
        <w:tc>
          <w:tcPr>
            <w:tcW w:w="2319" w:type="dxa"/>
            <w:noWrap/>
            <w:vAlign w:val="center"/>
          </w:tcPr>
          <w:p w14:paraId="5C642B5A">
            <w:pPr>
              <w:spacing w:line="360" w:lineRule="auto"/>
            </w:pPr>
            <w:r>
              <w:rPr>
                <w:rFonts w:hint="eastAsia"/>
              </w:rPr>
              <w:t>大部分群众对项目实施有意见，反应特别强烈，可能引发大规模社会稳定风险。</w:t>
            </w:r>
          </w:p>
        </w:tc>
        <w:tc>
          <w:tcPr>
            <w:tcW w:w="2100" w:type="dxa"/>
            <w:noWrap/>
            <w:vAlign w:val="center"/>
          </w:tcPr>
          <w:p w14:paraId="038C4CCA">
            <w:pPr>
              <w:spacing w:line="360" w:lineRule="auto"/>
            </w:pPr>
            <w:r>
              <w:rPr>
                <w:rFonts w:hint="eastAsia"/>
              </w:rPr>
              <w:t>部分群众对项目实施有意见，反映强烈，可能引发矛盾冲突。</w:t>
            </w:r>
          </w:p>
        </w:tc>
        <w:tc>
          <w:tcPr>
            <w:tcW w:w="2100" w:type="dxa"/>
            <w:noWrap/>
            <w:vAlign w:val="center"/>
          </w:tcPr>
          <w:p w14:paraId="4DB9714E">
            <w:pPr>
              <w:spacing w:line="360" w:lineRule="auto"/>
            </w:pPr>
            <w:r>
              <w:rPr>
                <w:rFonts w:hint="eastAsia"/>
              </w:rPr>
              <w:t>多数群众理解支持，但少数群众对项目实施有意见。</w:t>
            </w:r>
          </w:p>
        </w:tc>
      </w:tr>
      <w:tr w14:paraId="4CC4C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9" w:hRule="atLeast"/>
          <w:jc w:val="center"/>
        </w:trPr>
        <w:tc>
          <w:tcPr>
            <w:tcW w:w="1881" w:type="dxa"/>
            <w:noWrap/>
            <w:vAlign w:val="center"/>
          </w:tcPr>
          <w:p w14:paraId="3E60DCB3">
            <w:pPr>
              <w:spacing w:line="360" w:lineRule="auto"/>
              <w:jc w:val="center"/>
            </w:pPr>
            <w:r>
              <w:rPr>
                <w:rFonts w:hint="eastAsia"/>
              </w:rPr>
              <w:t>可能引发风险事件评判标准</w:t>
            </w:r>
          </w:p>
        </w:tc>
        <w:tc>
          <w:tcPr>
            <w:tcW w:w="2319" w:type="dxa"/>
            <w:noWrap/>
            <w:vAlign w:val="center"/>
          </w:tcPr>
          <w:p w14:paraId="5EF95799">
            <w:pPr>
              <w:spacing w:line="360" w:lineRule="auto"/>
            </w:pPr>
            <w:r>
              <w:rPr>
                <w:rFonts w:hint="eastAsia"/>
              </w:rPr>
              <w:t>如冲击、围攻党政机关、要害部门及重大地区、部门、场所、发生打砸抢烧等集体械斗、聚众闹事、人员伤亡时间，非法集会、市委、游行、罢工、罢市、罢课等。</w:t>
            </w:r>
          </w:p>
        </w:tc>
        <w:tc>
          <w:tcPr>
            <w:tcW w:w="2100" w:type="dxa"/>
            <w:noWrap/>
            <w:vAlign w:val="center"/>
          </w:tcPr>
          <w:p w14:paraId="3939E5AF">
            <w:pPr>
              <w:spacing w:line="360" w:lineRule="auto"/>
            </w:pPr>
            <w:r>
              <w:rPr>
                <w:rFonts w:hint="eastAsia"/>
              </w:rPr>
              <w:t>如集体上访、请愿、发生极端个人事件，媒体（网络）出现负面舆情等。</w:t>
            </w:r>
          </w:p>
        </w:tc>
        <w:tc>
          <w:tcPr>
            <w:tcW w:w="2100" w:type="dxa"/>
            <w:noWrap/>
            <w:vAlign w:val="center"/>
          </w:tcPr>
          <w:p w14:paraId="5F774574">
            <w:pPr>
              <w:spacing w:line="360" w:lineRule="auto"/>
            </w:pPr>
            <w:r>
              <w:rPr>
                <w:rFonts w:hint="eastAsia"/>
              </w:rPr>
              <w:t>如个人非正常上访、静坐、拉横幅、喊口号、散发宣传品、散布有害信息等。</w:t>
            </w:r>
          </w:p>
        </w:tc>
      </w:tr>
      <w:tr w14:paraId="3E640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1881" w:type="dxa"/>
            <w:noWrap/>
            <w:vAlign w:val="center"/>
          </w:tcPr>
          <w:p w14:paraId="6F7BB7BE">
            <w:pPr>
              <w:spacing w:line="360" w:lineRule="auto"/>
              <w:jc w:val="center"/>
            </w:pPr>
            <w:r>
              <w:rPr>
                <w:rFonts w:hint="eastAsia"/>
              </w:rPr>
              <w:t>风险事件参与人数评判标准</w:t>
            </w:r>
          </w:p>
        </w:tc>
        <w:tc>
          <w:tcPr>
            <w:tcW w:w="2319" w:type="dxa"/>
            <w:noWrap/>
            <w:vAlign w:val="center"/>
          </w:tcPr>
          <w:p w14:paraId="52242DB4">
            <w:pPr>
              <w:spacing w:line="360" w:lineRule="auto"/>
              <w:jc w:val="center"/>
            </w:pPr>
            <w:r>
              <w:rPr>
                <w:rFonts w:hint="eastAsia"/>
              </w:rPr>
              <w:t>200人以上</w:t>
            </w:r>
          </w:p>
        </w:tc>
        <w:tc>
          <w:tcPr>
            <w:tcW w:w="2100" w:type="dxa"/>
            <w:noWrap/>
            <w:vAlign w:val="center"/>
          </w:tcPr>
          <w:p w14:paraId="397C267C">
            <w:pPr>
              <w:spacing w:line="360" w:lineRule="auto"/>
              <w:jc w:val="center"/>
            </w:pPr>
            <w:r>
              <w:rPr>
                <w:rFonts w:hint="eastAsia"/>
              </w:rPr>
              <w:t>20至200人</w:t>
            </w:r>
          </w:p>
        </w:tc>
        <w:tc>
          <w:tcPr>
            <w:tcW w:w="2100" w:type="dxa"/>
            <w:noWrap/>
            <w:vAlign w:val="center"/>
          </w:tcPr>
          <w:p w14:paraId="34007EA3">
            <w:pPr>
              <w:spacing w:line="360" w:lineRule="auto"/>
              <w:jc w:val="center"/>
            </w:pPr>
            <w:r>
              <w:rPr>
                <w:rFonts w:hint="eastAsia"/>
              </w:rPr>
              <w:t>20人以下</w:t>
            </w:r>
          </w:p>
        </w:tc>
      </w:tr>
      <w:tr w14:paraId="31176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1881" w:type="dxa"/>
            <w:noWrap/>
            <w:vAlign w:val="center"/>
          </w:tcPr>
          <w:p w14:paraId="0563AE5B">
            <w:pPr>
              <w:spacing w:line="360" w:lineRule="auto"/>
              <w:jc w:val="center"/>
            </w:pPr>
            <w:r>
              <w:rPr>
                <w:rFonts w:hint="eastAsia"/>
              </w:rPr>
              <w:t>单因素风险程度</w:t>
            </w:r>
          </w:p>
          <w:p w14:paraId="6F0E666C">
            <w:pPr>
              <w:spacing w:line="360" w:lineRule="auto"/>
              <w:jc w:val="center"/>
            </w:pPr>
            <w:r>
              <w:rPr>
                <w:rFonts w:hint="eastAsia"/>
              </w:rPr>
              <w:t>评判标准</w:t>
            </w:r>
          </w:p>
        </w:tc>
        <w:tc>
          <w:tcPr>
            <w:tcW w:w="2319" w:type="dxa"/>
            <w:noWrap/>
            <w:vAlign w:val="center"/>
          </w:tcPr>
          <w:p w14:paraId="3B01C0AF">
            <w:pPr>
              <w:spacing w:line="360" w:lineRule="auto"/>
            </w:pPr>
            <w:r>
              <w:rPr>
                <w:rFonts w:hint="eastAsia"/>
              </w:rPr>
              <w:t>2个及以上重大或5个及以上较大单因素风险</w:t>
            </w:r>
          </w:p>
        </w:tc>
        <w:tc>
          <w:tcPr>
            <w:tcW w:w="2100" w:type="dxa"/>
            <w:noWrap/>
            <w:vAlign w:val="center"/>
          </w:tcPr>
          <w:p w14:paraId="5EE63651">
            <w:pPr>
              <w:spacing w:line="360" w:lineRule="auto"/>
            </w:pPr>
            <w:r>
              <w:rPr>
                <w:rFonts w:hint="eastAsia"/>
              </w:rPr>
              <w:t>1个重大或2个至4个较大单因素风险</w:t>
            </w:r>
          </w:p>
        </w:tc>
        <w:tc>
          <w:tcPr>
            <w:tcW w:w="2100" w:type="dxa"/>
            <w:noWrap/>
            <w:vAlign w:val="center"/>
          </w:tcPr>
          <w:p w14:paraId="7A9383AF">
            <w:pPr>
              <w:spacing w:line="360" w:lineRule="auto"/>
            </w:pPr>
            <w:r>
              <w:rPr>
                <w:rFonts w:hint="eastAsia"/>
              </w:rPr>
              <w:t>1个较大或1至4个一般单因素风险</w:t>
            </w:r>
          </w:p>
        </w:tc>
      </w:tr>
      <w:tr w14:paraId="721AB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1881" w:type="dxa"/>
            <w:noWrap/>
            <w:vAlign w:val="center"/>
          </w:tcPr>
          <w:p w14:paraId="673848F2">
            <w:pPr>
              <w:spacing w:line="360" w:lineRule="auto"/>
              <w:jc w:val="center"/>
            </w:pPr>
            <w:r>
              <w:rPr>
                <w:rFonts w:hint="eastAsia"/>
              </w:rPr>
              <w:t>综合风险指数</w:t>
            </w:r>
          </w:p>
          <w:p w14:paraId="7E3EF52A">
            <w:pPr>
              <w:spacing w:line="360" w:lineRule="auto"/>
              <w:jc w:val="center"/>
            </w:pPr>
            <w:r>
              <w:rPr>
                <w:rFonts w:hint="eastAsia"/>
              </w:rPr>
              <w:t>评判标准</w:t>
            </w:r>
          </w:p>
        </w:tc>
        <w:tc>
          <w:tcPr>
            <w:tcW w:w="2319" w:type="dxa"/>
            <w:noWrap/>
            <w:vAlign w:val="center"/>
          </w:tcPr>
          <w:p w14:paraId="45E9703D">
            <w:pPr>
              <w:spacing w:line="360" w:lineRule="auto"/>
              <w:jc w:val="center"/>
            </w:pPr>
            <w:r>
              <w:rPr>
                <w:rFonts w:hint="eastAsia"/>
              </w:rPr>
              <w:t>&gt;0.64</w:t>
            </w:r>
          </w:p>
        </w:tc>
        <w:tc>
          <w:tcPr>
            <w:tcW w:w="2100" w:type="dxa"/>
            <w:noWrap/>
            <w:vAlign w:val="center"/>
          </w:tcPr>
          <w:p w14:paraId="12FCC222">
            <w:pPr>
              <w:spacing w:line="360" w:lineRule="auto"/>
              <w:jc w:val="center"/>
            </w:pPr>
            <w:r>
              <w:rPr>
                <w:rFonts w:hint="eastAsia"/>
              </w:rPr>
              <w:t>0.36~0.64</w:t>
            </w:r>
          </w:p>
        </w:tc>
        <w:tc>
          <w:tcPr>
            <w:tcW w:w="2100" w:type="dxa"/>
            <w:noWrap/>
            <w:vAlign w:val="center"/>
          </w:tcPr>
          <w:p w14:paraId="6DD9B383">
            <w:pPr>
              <w:spacing w:line="360" w:lineRule="auto"/>
              <w:jc w:val="center"/>
            </w:pPr>
            <w:r>
              <w:rPr>
                <w:rFonts w:hint="eastAsia"/>
              </w:rPr>
              <w:t>&lt;0.36</w:t>
            </w:r>
          </w:p>
        </w:tc>
      </w:tr>
    </w:tbl>
    <w:p w14:paraId="6B8D06C3"/>
    <w:p w14:paraId="34E0E992">
      <w:pPr>
        <w:sectPr>
          <w:footerReference r:id="rId3" w:type="default"/>
          <w:pgSz w:w="11906" w:h="16838"/>
          <w:pgMar w:top="1440" w:right="1800" w:bottom="1440" w:left="1800" w:header="851" w:footer="992" w:gutter="0"/>
          <w:pgNumType w:start="1"/>
          <w:cols w:space="425" w:num="1"/>
          <w:docGrid w:type="lines" w:linePitch="312" w:charSpace="0"/>
        </w:sectPr>
      </w:pPr>
    </w:p>
    <w:p w14:paraId="0FA26FA0">
      <w:pPr>
        <w:spacing w:line="360" w:lineRule="auto"/>
        <w:ind w:firstLine="480" w:firstLineChars="200"/>
        <w:jc w:val="center"/>
        <w:rPr>
          <w:rFonts w:ascii="宋体" w:hAnsi="宋体" w:cs="宋体"/>
          <w:sz w:val="24"/>
        </w:rPr>
      </w:pPr>
      <w:r>
        <w:rPr>
          <w:rFonts w:hint="eastAsia" w:ascii="宋体" w:hAnsi="宋体" w:cs="宋体"/>
          <w:sz w:val="24"/>
        </w:rPr>
        <w:t>表</w:t>
      </w:r>
      <w:r>
        <w:rPr>
          <w:rFonts w:ascii="宋体" w:hAnsi="宋体" w:cs="宋体"/>
          <w:sz w:val="24"/>
        </w:rPr>
        <w:t>-5</w:t>
      </w:r>
      <w:r>
        <w:rPr>
          <w:rFonts w:hint="eastAsia" w:ascii="宋体" w:hAnsi="宋体" w:cs="宋体"/>
          <w:sz w:val="24"/>
        </w:rPr>
        <w:t>《烟台市莱山区2019-2030中小学及幼儿园布局规划》决策主要风险因素及其风险程度打分汇总表</w:t>
      </w:r>
    </w:p>
    <w:tbl>
      <w:tblPr>
        <w:tblStyle w:val="5"/>
        <w:tblpPr w:leftFromText="180" w:rightFromText="180" w:vertAnchor="text" w:horzAnchor="page" w:tblpX="1536" w:tblpY="18"/>
        <w:tblOverlap w:val="never"/>
        <w:tblW w:w="138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6285"/>
        <w:gridCol w:w="1425"/>
        <w:gridCol w:w="1395"/>
        <w:gridCol w:w="1425"/>
        <w:gridCol w:w="1305"/>
        <w:gridCol w:w="1351"/>
      </w:tblGrid>
      <w:tr w14:paraId="1CB64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705" w:type="dxa"/>
            <w:vAlign w:val="center"/>
          </w:tcPr>
          <w:p w14:paraId="27CCBA06">
            <w:pPr>
              <w:jc w:val="center"/>
              <w:rPr>
                <w:sz w:val="18"/>
                <w:szCs w:val="18"/>
              </w:rPr>
            </w:pPr>
            <w:r>
              <w:rPr>
                <w:rFonts w:hAnsi="宋体"/>
                <w:sz w:val="18"/>
                <w:szCs w:val="18"/>
              </w:rPr>
              <w:t>序号</w:t>
            </w:r>
          </w:p>
        </w:tc>
        <w:tc>
          <w:tcPr>
            <w:tcW w:w="6285" w:type="dxa"/>
            <w:vAlign w:val="center"/>
          </w:tcPr>
          <w:p w14:paraId="7FEF3323">
            <w:pPr>
              <w:jc w:val="center"/>
              <w:rPr>
                <w:sz w:val="18"/>
                <w:szCs w:val="18"/>
              </w:rPr>
            </w:pPr>
            <w:r>
              <w:rPr>
                <w:rFonts w:hAnsi="宋体"/>
                <w:sz w:val="18"/>
                <w:szCs w:val="18"/>
              </w:rPr>
              <w:t>风险因素</w:t>
            </w:r>
          </w:p>
        </w:tc>
        <w:tc>
          <w:tcPr>
            <w:tcW w:w="1425" w:type="dxa"/>
            <w:vAlign w:val="center"/>
          </w:tcPr>
          <w:p w14:paraId="45D69813">
            <w:pPr>
              <w:jc w:val="center"/>
              <w:rPr>
                <w:sz w:val="18"/>
                <w:szCs w:val="18"/>
              </w:rPr>
            </w:pPr>
            <w:r>
              <w:rPr>
                <w:rFonts w:hAnsi="宋体"/>
                <w:sz w:val="18"/>
                <w:szCs w:val="18"/>
              </w:rPr>
              <w:t>风险概率</w:t>
            </w:r>
            <w:r>
              <w:rPr>
                <w:rFonts w:hint="eastAsia" w:hAnsi="宋体"/>
                <w:sz w:val="18"/>
                <w:szCs w:val="18"/>
              </w:rPr>
              <w:t>（P）</w:t>
            </w:r>
          </w:p>
        </w:tc>
        <w:tc>
          <w:tcPr>
            <w:tcW w:w="1395" w:type="dxa"/>
            <w:vAlign w:val="center"/>
          </w:tcPr>
          <w:p w14:paraId="11FD454C">
            <w:pPr>
              <w:jc w:val="center"/>
              <w:rPr>
                <w:sz w:val="18"/>
                <w:szCs w:val="18"/>
              </w:rPr>
            </w:pPr>
            <w:r>
              <w:rPr>
                <w:rFonts w:hAnsi="宋体"/>
                <w:sz w:val="18"/>
                <w:szCs w:val="18"/>
              </w:rPr>
              <w:t>影响程度</w:t>
            </w:r>
            <w:r>
              <w:rPr>
                <w:rFonts w:hint="eastAsia" w:hAnsi="宋体"/>
                <w:sz w:val="18"/>
                <w:szCs w:val="18"/>
              </w:rPr>
              <w:t>（Q）</w:t>
            </w:r>
          </w:p>
        </w:tc>
        <w:tc>
          <w:tcPr>
            <w:tcW w:w="1425" w:type="dxa"/>
            <w:vAlign w:val="center"/>
          </w:tcPr>
          <w:p w14:paraId="307AEC30">
            <w:pPr>
              <w:jc w:val="center"/>
              <w:rPr>
                <w:sz w:val="18"/>
                <w:szCs w:val="18"/>
              </w:rPr>
            </w:pPr>
            <w:r>
              <w:rPr>
                <w:rFonts w:hAnsi="宋体"/>
                <w:sz w:val="18"/>
                <w:szCs w:val="18"/>
              </w:rPr>
              <w:t>风险程度</w:t>
            </w:r>
            <w:r>
              <w:rPr>
                <w:rFonts w:hint="eastAsia" w:hAnsi="宋体"/>
                <w:sz w:val="18"/>
                <w:szCs w:val="18"/>
              </w:rPr>
              <w:t>（R）</w:t>
            </w:r>
          </w:p>
        </w:tc>
        <w:tc>
          <w:tcPr>
            <w:tcW w:w="1305" w:type="dxa"/>
            <w:vAlign w:val="center"/>
          </w:tcPr>
          <w:p w14:paraId="71B2D313">
            <w:pPr>
              <w:jc w:val="center"/>
              <w:rPr>
                <w:rFonts w:hAnsi="宋体" w:eastAsia="宋体"/>
                <w:sz w:val="18"/>
                <w:szCs w:val="18"/>
              </w:rPr>
            </w:pPr>
            <w:r>
              <w:rPr>
                <w:rFonts w:hint="eastAsia" w:hAnsi="宋体"/>
                <w:sz w:val="18"/>
                <w:szCs w:val="18"/>
              </w:rPr>
              <w:t>权重（I）</w:t>
            </w:r>
          </w:p>
        </w:tc>
        <w:tc>
          <w:tcPr>
            <w:tcW w:w="1351" w:type="dxa"/>
            <w:vAlign w:val="center"/>
          </w:tcPr>
          <w:p w14:paraId="6B07455B">
            <w:pPr>
              <w:jc w:val="center"/>
              <w:rPr>
                <w:rFonts w:hAnsi="宋体" w:eastAsia="宋体"/>
                <w:sz w:val="18"/>
                <w:szCs w:val="18"/>
              </w:rPr>
            </w:pPr>
            <w:r>
              <w:rPr>
                <w:rFonts w:hint="eastAsia" w:hAnsi="宋体"/>
                <w:sz w:val="18"/>
                <w:szCs w:val="18"/>
              </w:rPr>
              <w:t>风险指数（T=R</w:t>
            </w:r>
            <w:r>
              <w:rPr>
                <w:rFonts w:ascii="Arial" w:hAnsi="Arial" w:cs="Arial"/>
                <w:sz w:val="18"/>
                <w:szCs w:val="18"/>
              </w:rPr>
              <w:t>×</w:t>
            </w:r>
            <w:r>
              <w:rPr>
                <w:rFonts w:hint="eastAsia" w:hAnsi="宋体"/>
                <w:sz w:val="18"/>
                <w:szCs w:val="18"/>
              </w:rPr>
              <w:t>I）</w:t>
            </w:r>
          </w:p>
        </w:tc>
      </w:tr>
      <w:tr w14:paraId="7528C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705" w:type="dxa"/>
            <w:vAlign w:val="center"/>
          </w:tcPr>
          <w:p w14:paraId="35663866">
            <w:pPr>
              <w:jc w:val="center"/>
              <w:rPr>
                <w:sz w:val="18"/>
                <w:szCs w:val="18"/>
              </w:rPr>
            </w:pPr>
            <w:r>
              <w:rPr>
                <w:sz w:val="18"/>
                <w:szCs w:val="18"/>
              </w:rPr>
              <w:t>1</w:t>
            </w:r>
          </w:p>
        </w:tc>
        <w:tc>
          <w:tcPr>
            <w:tcW w:w="6285" w:type="dxa"/>
          </w:tcPr>
          <w:p w14:paraId="73DF8229">
            <w:pPr>
              <w:rPr>
                <w:sz w:val="18"/>
                <w:szCs w:val="18"/>
              </w:rPr>
            </w:pPr>
            <w:r>
              <w:rPr>
                <w:rFonts w:hint="eastAsia" w:ascii="宋体" w:hAnsi="宋体"/>
              </w:rPr>
              <w:t>听证、公示等公众参与程序是否合法</w:t>
            </w:r>
          </w:p>
        </w:tc>
        <w:tc>
          <w:tcPr>
            <w:tcW w:w="1425" w:type="dxa"/>
            <w:vAlign w:val="center"/>
          </w:tcPr>
          <w:p w14:paraId="498FDEDD">
            <w:pPr>
              <w:jc w:val="center"/>
              <w:rPr>
                <w:rFonts w:eastAsia="宋体"/>
                <w:sz w:val="18"/>
                <w:szCs w:val="18"/>
              </w:rPr>
            </w:pPr>
            <w:r>
              <w:rPr>
                <w:rFonts w:hint="eastAsia" w:eastAsia="宋体"/>
                <w:sz w:val="18"/>
                <w:szCs w:val="18"/>
              </w:rPr>
              <w:t>0.10</w:t>
            </w:r>
          </w:p>
        </w:tc>
        <w:tc>
          <w:tcPr>
            <w:tcW w:w="1395" w:type="dxa"/>
            <w:vAlign w:val="center"/>
          </w:tcPr>
          <w:p w14:paraId="7683AA18">
            <w:pPr>
              <w:jc w:val="center"/>
              <w:rPr>
                <w:rFonts w:eastAsia="宋体"/>
                <w:sz w:val="18"/>
                <w:szCs w:val="18"/>
              </w:rPr>
            </w:pPr>
            <w:r>
              <w:rPr>
                <w:rFonts w:hint="eastAsia" w:eastAsia="宋体"/>
                <w:sz w:val="18"/>
                <w:szCs w:val="18"/>
              </w:rPr>
              <w:t>0.31</w:t>
            </w:r>
          </w:p>
        </w:tc>
        <w:tc>
          <w:tcPr>
            <w:tcW w:w="1425" w:type="dxa"/>
            <w:vAlign w:val="center"/>
          </w:tcPr>
          <w:p w14:paraId="57411605">
            <w:pPr>
              <w:jc w:val="center"/>
              <w:rPr>
                <w:rFonts w:eastAsia="宋体"/>
                <w:sz w:val="18"/>
                <w:szCs w:val="18"/>
              </w:rPr>
            </w:pPr>
            <w:r>
              <w:rPr>
                <w:rFonts w:hint="eastAsia" w:eastAsia="宋体"/>
                <w:sz w:val="18"/>
                <w:szCs w:val="18"/>
              </w:rPr>
              <w:t>0.031</w:t>
            </w:r>
          </w:p>
        </w:tc>
        <w:tc>
          <w:tcPr>
            <w:tcW w:w="1305" w:type="dxa"/>
            <w:vAlign w:val="center"/>
          </w:tcPr>
          <w:p w14:paraId="17234B99">
            <w:pPr>
              <w:widowControl/>
              <w:jc w:val="center"/>
              <w:textAlignment w:val="center"/>
              <w:rPr>
                <w:rFonts w:ascii="Times New Roman" w:hAnsi="Times New Roman" w:cs="Times New Roman"/>
                <w:sz w:val="18"/>
                <w:szCs w:val="18"/>
              </w:rPr>
            </w:pPr>
            <w:r>
              <w:rPr>
                <w:rFonts w:hint="eastAsia" w:ascii="Times New Roman" w:hAnsi="Times New Roman" w:cs="Times New Roman"/>
                <w:sz w:val="18"/>
                <w:szCs w:val="18"/>
              </w:rPr>
              <w:t>0.036</w:t>
            </w:r>
          </w:p>
        </w:tc>
        <w:tc>
          <w:tcPr>
            <w:tcW w:w="1351" w:type="dxa"/>
            <w:vAlign w:val="center"/>
          </w:tcPr>
          <w:p w14:paraId="32B8DFD4">
            <w:pPr>
              <w:widowControl/>
              <w:jc w:val="center"/>
              <w:textAlignment w:val="center"/>
              <w:rPr>
                <w:rFonts w:ascii="Times New Roman" w:hAnsi="Times New Roman" w:cs="Times New Roman"/>
                <w:sz w:val="18"/>
                <w:szCs w:val="18"/>
              </w:rPr>
            </w:pPr>
            <w:r>
              <w:rPr>
                <w:rFonts w:hint="eastAsia" w:ascii="宋体" w:hAnsi="宋体" w:eastAsia="宋体" w:cs="宋体"/>
                <w:color w:val="000000"/>
                <w:kern w:val="0"/>
                <w:sz w:val="18"/>
                <w:szCs w:val="18"/>
              </w:rPr>
              <w:t>0.001116</w:t>
            </w:r>
          </w:p>
        </w:tc>
      </w:tr>
      <w:tr w14:paraId="5FAE2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705" w:type="dxa"/>
            <w:vAlign w:val="center"/>
          </w:tcPr>
          <w:p w14:paraId="61284968">
            <w:pPr>
              <w:jc w:val="center"/>
              <w:rPr>
                <w:rFonts w:eastAsia="宋体"/>
                <w:sz w:val="18"/>
                <w:szCs w:val="18"/>
              </w:rPr>
            </w:pPr>
            <w:r>
              <w:rPr>
                <w:rFonts w:hint="eastAsia"/>
                <w:sz w:val="18"/>
                <w:szCs w:val="18"/>
              </w:rPr>
              <w:t>2</w:t>
            </w:r>
          </w:p>
        </w:tc>
        <w:tc>
          <w:tcPr>
            <w:tcW w:w="6285" w:type="dxa"/>
          </w:tcPr>
          <w:p w14:paraId="49FB955C">
            <w:pPr>
              <w:rPr>
                <w:rFonts w:hAnsi="宋体"/>
                <w:sz w:val="18"/>
                <w:szCs w:val="18"/>
              </w:rPr>
            </w:pPr>
            <w:r>
              <w:rPr>
                <w:rFonts w:hint="eastAsia" w:ascii="宋体" w:hAnsi="宋体"/>
                <w:szCs w:val="21"/>
              </w:rPr>
              <w:t>决策的其他外部影响是否会引发社会矛盾和冲突</w:t>
            </w:r>
          </w:p>
        </w:tc>
        <w:tc>
          <w:tcPr>
            <w:tcW w:w="1425" w:type="dxa"/>
            <w:vAlign w:val="center"/>
          </w:tcPr>
          <w:p w14:paraId="12B7C975">
            <w:pPr>
              <w:jc w:val="center"/>
              <w:rPr>
                <w:rFonts w:hAnsi="宋体" w:eastAsia="宋体"/>
                <w:sz w:val="18"/>
                <w:szCs w:val="18"/>
              </w:rPr>
            </w:pPr>
            <w:r>
              <w:rPr>
                <w:rFonts w:hint="eastAsia" w:hAnsi="宋体" w:eastAsia="宋体"/>
                <w:sz w:val="18"/>
                <w:szCs w:val="18"/>
              </w:rPr>
              <w:t>0.25</w:t>
            </w:r>
          </w:p>
        </w:tc>
        <w:tc>
          <w:tcPr>
            <w:tcW w:w="1395" w:type="dxa"/>
            <w:vAlign w:val="center"/>
          </w:tcPr>
          <w:p w14:paraId="6468F535">
            <w:pPr>
              <w:jc w:val="center"/>
              <w:rPr>
                <w:rFonts w:hAnsi="宋体" w:eastAsia="宋体"/>
                <w:sz w:val="18"/>
                <w:szCs w:val="18"/>
              </w:rPr>
            </w:pPr>
            <w:r>
              <w:rPr>
                <w:rFonts w:hint="eastAsia" w:hAnsi="宋体" w:eastAsia="宋体"/>
                <w:sz w:val="18"/>
                <w:szCs w:val="18"/>
              </w:rPr>
              <w:t>0.46</w:t>
            </w:r>
          </w:p>
        </w:tc>
        <w:tc>
          <w:tcPr>
            <w:tcW w:w="1425" w:type="dxa"/>
            <w:vAlign w:val="center"/>
          </w:tcPr>
          <w:p w14:paraId="5ACFD0D9">
            <w:pPr>
              <w:jc w:val="center"/>
              <w:rPr>
                <w:rFonts w:hAnsi="宋体" w:eastAsia="宋体"/>
                <w:sz w:val="18"/>
                <w:szCs w:val="18"/>
              </w:rPr>
            </w:pPr>
            <w:r>
              <w:rPr>
                <w:rFonts w:hint="eastAsia" w:hAnsi="宋体" w:eastAsia="宋体"/>
                <w:sz w:val="18"/>
                <w:szCs w:val="18"/>
              </w:rPr>
              <w:t>0.115</w:t>
            </w:r>
          </w:p>
        </w:tc>
        <w:tc>
          <w:tcPr>
            <w:tcW w:w="1305" w:type="dxa"/>
            <w:vAlign w:val="center"/>
          </w:tcPr>
          <w:p w14:paraId="47DA646B">
            <w:pPr>
              <w:widowControl/>
              <w:jc w:val="center"/>
              <w:textAlignment w:val="center"/>
              <w:rPr>
                <w:rFonts w:ascii="Times New Roman" w:hAnsi="Times New Roman" w:cs="Times New Roman"/>
                <w:sz w:val="18"/>
                <w:szCs w:val="18"/>
              </w:rPr>
            </w:pPr>
            <w:r>
              <w:rPr>
                <w:rFonts w:hint="eastAsia" w:ascii="Times New Roman" w:hAnsi="Times New Roman" w:cs="Times New Roman"/>
                <w:sz w:val="18"/>
                <w:szCs w:val="18"/>
              </w:rPr>
              <w:t>0.075</w:t>
            </w:r>
          </w:p>
        </w:tc>
        <w:tc>
          <w:tcPr>
            <w:tcW w:w="1351" w:type="dxa"/>
            <w:vAlign w:val="center"/>
          </w:tcPr>
          <w:p w14:paraId="1BBABF73">
            <w:pPr>
              <w:widowControl/>
              <w:jc w:val="center"/>
              <w:textAlignment w:val="center"/>
              <w:rPr>
                <w:rFonts w:ascii="Times New Roman" w:hAnsi="Times New Roman" w:cs="Times New Roman"/>
                <w:sz w:val="18"/>
                <w:szCs w:val="18"/>
              </w:rPr>
            </w:pPr>
            <w:r>
              <w:rPr>
                <w:rFonts w:hint="eastAsia" w:ascii="宋体" w:hAnsi="宋体" w:eastAsia="宋体" w:cs="宋体"/>
                <w:color w:val="000000"/>
                <w:kern w:val="0"/>
                <w:sz w:val="18"/>
                <w:szCs w:val="18"/>
              </w:rPr>
              <w:t>0.008625</w:t>
            </w:r>
          </w:p>
        </w:tc>
      </w:tr>
      <w:tr w14:paraId="4F4D1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705" w:type="dxa"/>
            <w:vAlign w:val="center"/>
          </w:tcPr>
          <w:p w14:paraId="5D7D9B0B">
            <w:pPr>
              <w:jc w:val="center"/>
              <w:rPr>
                <w:sz w:val="18"/>
                <w:szCs w:val="18"/>
              </w:rPr>
            </w:pPr>
            <w:r>
              <w:rPr>
                <w:rFonts w:hint="eastAsia"/>
                <w:sz w:val="18"/>
                <w:szCs w:val="18"/>
              </w:rPr>
              <w:t>3</w:t>
            </w:r>
          </w:p>
        </w:tc>
        <w:tc>
          <w:tcPr>
            <w:tcW w:w="6285" w:type="dxa"/>
          </w:tcPr>
          <w:p w14:paraId="4BEE5379">
            <w:pPr>
              <w:rPr>
                <w:sz w:val="18"/>
                <w:szCs w:val="18"/>
              </w:rPr>
            </w:pPr>
            <w:r>
              <w:rPr>
                <w:rFonts w:hint="eastAsia" w:ascii="宋体" w:hAnsi="宋体"/>
              </w:rPr>
              <w:t>是否充分考虑到时间、空间、人力、物力、财力等制约因素</w:t>
            </w:r>
          </w:p>
        </w:tc>
        <w:tc>
          <w:tcPr>
            <w:tcW w:w="1425" w:type="dxa"/>
            <w:vAlign w:val="center"/>
          </w:tcPr>
          <w:p w14:paraId="38E28069">
            <w:pPr>
              <w:jc w:val="center"/>
              <w:rPr>
                <w:rFonts w:eastAsia="宋体"/>
                <w:sz w:val="18"/>
                <w:szCs w:val="18"/>
              </w:rPr>
            </w:pPr>
            <w:r>
              <w:rPr>
                <w:rFonts w:hint="eastAsia" w:eastAsia="宋体"/>
                <w:sz w:val="18"/>
                <w:szCs w:val="18"/>
              </w:rPr>
              <w:t>0.39</w:t>
            </w:r>
          </w:p>
        </w:tc>
        <w:tc>
          <w:tcPr>
            <w:tcW w:w="1395" w:type="dxa"/>
            <w:vAlign w:val="center"/>
          </w:tcPr>
          <w:p w14:paraId="419D761B">
            <w:pPr>
              <w:jc w:val="center"/>
              <w:rPr>
                <w:rFonts w:eastAsia="宋体"/>
                <w:sz w:val="18"/>
                <w:szCs w:val="18"/>
              </w:rPr>
            </w:pPr>
            <w:r>
              <w:rPr>
                <w:rFonts w:hint="eastAsia" w:eastAsia="宋体"/>
                <w:sz w:val="18"/>
                <w:szCs w:val="18"/>
              </w:rPr>
              <w:t>0.48</w:t>
            </w:r>
          </w:p>
        </w:tc>
        <w:tc>
          <w:tcPr>
            <w:tcW w:w="1425" w:type="dxa"/>
            <w:vAlign w:val="center"/>
          </w:tcPr>
          <w:p w14:paraId="747794D1">
            <w:pPr>
              <w:jc w:val="center"/>
              <w:rPr>
                <w:rFonts w:eastAsia="宋体"/>
                <w:sz w:val="18"/>
                <w:szCs w:val="18"/>
              </w:rPr>
            </w:pPr>
            <w:r>
              <w:rPr>
                <w:rFonts w:hint="eastAsia" w:eastAsia="宋体"/>
                <w:sz w:val="18"/>
                <w:szCs w:val="18"/>
              </w:rPr>
              <w:t>0.187</w:t>
            </w:r>
          </w:p>
        </w:tc>
        <w:tc>
          <w:tcPr>
            <w:tcW w:w="1305" w:type="dxa"/>
            <w:vAlign w:val="center"/>
          </w:tcPr>
          <w:p w14:paraId="729E194C">
            <w:pPr>
              <w:widowControl/>
              <w:jc w:val="center"/>
              <w:textAlignment w:val="center"/>
              <w:rPr>
                <w:rFonts w:ascii="Times New Roman" w:hAnsi="Times New Roman" w:cs="Times New Roman"/>
                <w:sz w:val="18"/>
                <w:szCs w:val="18"/>
              </w:rPr>
            </w:pPr>
            <w:r>
              <w:rPr>
                <w:rFonts w:hint="eastAsia" w:ascii="Times New Roman" w:hAnsi="Times New Roman" w:cs="Times New Roman"/>
                <w:sz w:val="18"/>
                <w:szCs w:val="18"/>
              </w:rPr>
              <w:t>0.054</w:t>
            </w:r>
          </w:p>
        </w:tc>
        <w:tc>
          <w:tcPr>
            <w:tcW w:w="1351" w:type="dxa"/>
            <w:vAlign w:val="center"/>
          </w:tcPr>
          <w:p w14:paraId="26059A47">
            <w:pPr>
              <w:widowControl/>
              <w:jc w:val="center"/>
              <w:textAlignment w:val="center"/>
              <w:rPr>
                <w:rFonts w:ascii="Times New Roman" w:hAnsi="Times New Roman" w:cs="Times New Roman"/>
                <w:sz w:val="18"/>
                <w:szCs w:val="18"/>
              </w:rPr>
            </w:pPr>
            <w:r>
              <w:rPr>
                <w:rFonts w:hint="eastAsia" w:ascii="宋体" w:hAnsi="宋体" w:eastAsia="宋体" w:cs="宋体"/>
                <w:color w:val="000000"/>
                <w:kern w:val="0"/>
                <w:sz w:val="18"/>
                <w:szCs w:val="18"/>
              </w:rPr>
              <w:t>0.010098</w:t>
            </w:r>
          </w:p>
        </w:tc>
      </w:tr>
      <w:tr w14:paraId="547DB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705" w:type="dxa"/>
            <w:vAlign w:val="center"/>
          </w:tcPr>
          <w:p w14:paraId="0CAF3157">
            <w:pPr>
              <w:jc w:val="center"/>
              <w:rPr>
                <w:sz w:val="18"/>
                <w:szCs w:val="18"/>
              </w:rPr>
            </w:pPr>
            <w:r>
              <w:rPr>
                <w:rFonts w:hint="eastAsia"/>
                <w:sz w:val="18"/>
                <w:szCs w:val="18"/>
              </w:rPr>
              <w:t>4</w:t>
            </w:r>
          </w:p>
        </w:tc>
        <w:tc>
          <w:tcPr>
            <w:tcW w:w="6285" w:type="dxa"/>
          </w:tcPr>
          <w:p w14:paraId="623688CE">
            <w:pPr>
              <w:rPr>
                <w:rFonts w:hAnsi="宋体"/>
                <w:sz w:val="18"/>
                <w:szCs w:val="18"/>
              </w:rPr>
            </w:pPr>
            <w:r>
              <w:rPr>
                <w:rFonts w:hint="eastAsia" w:ascii="宋体" w:hAnsi="宋体"/>
              </w:rPr>
              <w:t>决策方案是否具体、详实，配套措施是否完善</w:t>
            </w:r>
          </w:p>
        </w:tc>
        <w:tc>
          <w:tcPr>
            <w:tcW w:w="1425" w:type="dxa"/>
            <w:vAlign w:val="center"/>
          </w:tcPr>
          <w:p w14:paraId="123769B1">
            <w:pPr>
              <w:jc w:val="center"/>
              <w:rPr>
                <w:rFonts w:eastAsia="宋体"/>
                <w:sz w:val="18"/>
                <w:szCs w:val="18"/>
              </w:rPr>
            </w:pPr>
            <w:r>
              <w:rPr>
                <w:rFonts w:hint="eastAsia" w:eastAsia="宋体"/>
                <w:sz w:val="18"/>
                <w:szCs w:val="18"/>
              </w:rPr>
              <w:t>0.33</w:t>
            </w:r>
          </w:p>
        </w:tc>
        <w:tc>
          <w:tcPr>
            <w:tcW w:w="1395" w:type="dxa"/>
            <w:vAlign w:val="center"/>
          </w:tcPr>
          <w:p w14:paraId="5785BD1B">
            <w:pPr>
              <w:jc w:val="center"/>
              <w:rPr>
                <w:rFonts w:eastAsia="宋体"/>
                <w:sz w:val="18"/>
                <w:szCs w:val="18"/>
              </w:rPr>
            </w:pPr>
            <w:r>
              <w:rPr>
                <w:rFonts w:hint="eastAsia" w:eastAsia="宋体"/>
                <w:sz w:val="18"/>
                <w:szCs w:val="18"/>
              </w:rPr>
              <w:t>0.40</w:t>
            </w:r>
          </w:p>
        </w:tc>
        <w:tc>
          <w:tcPr>
            <w:tcW w:w="1425" w:type="dxa"/>
            <w:vAlign w:val="center"/>
          </w:tcPr>
          <w:p w14:paraId="719DD1E2">
            <w:pPr>
              <w:jc w:val="center"/>
              <w:rPr>
                <w:rFonts w:eastAsia="宋体"/>
                <w:sz w:val="18"/>
                <w:szCs w:val="18"/>
              </w:rPr>
            </w:pPr>
            <w:r>
              <w:rPr>
                <w:rFonts w:hint="eastAsia" w:eastAsia="宋体"/>
                <w:sz w:val="18"/>
                <w:szCs w:val="18"/>
              </w:rPr>
              <w:t>0.132</w:t>
            </w:r>
          </w:p>
        </w:tc>
        <w:tc>
          <w:tcPr>
            <w:tcW w:w="1305" w:type="dxa"/>
            <w:vAlign w:val="center"/>
          </w:tcPr>
          <w:p w14:paraId="22305958">
            <w:pPr>
              <w:widowControl/>
              <w:jc w:val="center"/>
              <w:textAlignment w:val="center"/>
              <w:rPr>
                <w:rFonts w:ascii="Times New Roman" w:hAnsi="Times New Roman" w:cs="Times New Roman"/>
                <w:sz w:val="18"/>
                <w:szCs w:val="18"/>
              </w:rPr>
            </w:pPr>
            <w:r>
              <w:rPr>
                <w:rFonts w:hint="eastAsia" w:ascii="Times New Roman" w:hAnsi="Times New Roman" w:cs="Times New Roman"/>
                <w:sz w:val="18"/>
                <w:szCs w:val="18"/>
              </w:rPr>
              <w:t>0.081</w:t>
            </w:r>
          </w:p>
        </w:tc>
        <w:tc>
          <w:tcPr>
            <w:tcW w:w="1351" w:type="dxa"/>
            <w:vAlign w:val="center"/>
          </w:tcPr>
          <w:p w14:paraId="500511B9">
            <w:pPr>
              <w:widowControl/>
              <w:jc w:val="center"/>
              <w:textAlignment w:val="center"/>
              <w:rPr>
                <w:rFonts w:ascii="Times New Roman" w:hAnsi="Times New Roman" w:cs="Times New Roman"/>
                <w:sz w:val="18"/>
                <w:szCs w:val="18"/>
              </w:rPr>
            </w:pPr>
            <w:r>
              <w:rPr>
                <w:rFonts w:hint="eastAsia" w:ascii="宋体" w:hAnsi="宋体" w:eastAsia="宋体" w:cs="宋体"/>
                <w:color w:val="000000"/>
                <w:kern w:val="0"/>
                <w:sz w:val="18"/>
                <w:szCs w:val="18"/>
              </w:rPr>
              <w:t>0.010692</w:t>
            </w:r>
          </w:p>
        </w:tc>
      </w:tr>
      <w:tr w14:paraId="1B984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05" w:type="dxa"/>
            <w:vAlign w:val="center"/>
          </w:tcPr>
          <w:p w14:paraId="40C024E0">
            <w:pPr>
              <w:jc w:val="center"/>
              <w:rPr>
                <w:rFonts w:eastAsia="宋体"/>
                <w:sz w:val="18"/>
                <w:szCs w:val="18"/>
              </w:rPr>
            </w:pPr>
            <w:r>
              <w:rPr>
                <w:rFonts w:hint="eastAsia"/>
                <w:sz w:val="18"/>
                <w:szCs w:val="18"/>
              </w:rPr>
              <w:t>5</w:t>
            </w:r>
          </w:p>
        </w:tc>
        <w:tc>
          <w:tcPr>
            <w:tcW w:w="6285" w:type="dxa"/>
          </w:tcPr>
          <w:p w14:paraId="44AD9F62">
            <w:pPr>
              <w:rPr>
                <w:sz w:val="18"/>
                <w:szCs w:val="18"/>
              </w:rPr>
            </w:pPr>
            <w:r>
              <w:rPr>
                <w:rFonts w:hint="eastAsia" w:ascii="宋体" w:hAnsi="宋体"/>
              </w:rPr>
              <w:t>是否引发失业率增加</w:t>
            </w:r>
          </w:p>
        </w:tc>
        <w:tc>
          <w:tcPr>
            <w:tcW w:w="1425" w:type="dxa"/>
            <w:vAlign w:val="center"/>
          </w:tcPr>
          <w:p w14:paraId="4955BF56">
            <w:pPr>
              <w:jc w:val="center"/>
              <w:rPr>
                <w:rFonts w:hAnsi="宋体" w:eastAsia="宋体"/>
                <w:sz w:val="18"/>
                <w:szCs w:val="18"/>
              </w:rPr>
            </w:pPr>
            <w:r>
              <w:rPr>
                <w:rFonts w:hint="eastAsia" w:hAnsi="宋体" w:eastAsia="宋体"/>
                <w:sz w:val="18"/>
                <w:szCs w:val="18"/>
              </w:rPr>
              <w:t>0.46</w:t>
            </w:r>
          </w:p>
        </w:tc>
        <w:tc>
          <w:tcPr>
            <w:tcW w:w="1395" w:type="dxa"/>
            <w:vAlign w:val="center"/>
          </w:tcPr>
          <w:p w14:paraId="42D8DD97">
            <w:pPr>
              <w:jc w:val="center"/>
              <w:rPr>
                <w:rFonts w:hAnsi="宋体" w:eastAsia="宋体"/>
                <w:sz w:val="18"/>
                <w:szCs w:val="18"/>
              </w:rPr>
            </w:pPr>
            <w:r>
              <w:rPr>
                <w:rFonts w:hint="eastAsia" w:hAnsi="宋体" w:eastAsia="宋体"/>
                <w:sz w:val="18"/>
                <w:szCs w:val="18"/>
              </w:rPr>
              <w:t>0.33</w:t>
            </w:r>
          </w:p>
        </w:tc>
        <w:tc>
          <w:tcPr>
            <w:tcW w:w="1425" w:type="dxa"/>
            <w:vAlign w:val="center"/>
          </w:tcPr>
          <w:p w14:paraId="7F27FB54">
            <w:pPr>
              <w:jc w:val="center"/>
              <w:rPr>
                <w:rFonts w:hAnsi="宋体" w:eastAsia="宋体"/>
                <w:sz w:val="18"/>
                <w:szCs w:val="18"/>
              </w:rPr>
            </w:pPr>
            <w:r>
              <w:rPr>
                <w:rFonts w:hint="eastAsia" w:hAnsi="宋体" w:eastAsia="宋体"/>
                <w:sz w:val="18"/>
                <w:szCs w:val="18"/>
              </w:rPr>
              <w:t>0.152</w:t>
            </w:r>
          </w:p>
        </w:tc>
        <w:tc>
          <w:tcPr>
            <w:tcW w:w="1305" w:type="dxa"/>
            <w:vAlign w:val="center"/>
          </w:tcPr>
          <w:p w14:paraId="12A451B7">
            <w:pPr>
              <w:widowControl/>
              <w:jc w:val="center"/>
              <w:textAlignment w:val="center"/>
              <w:rPr>
                <w:rFonts w:ascii="Times New Roman" w:hAnsi="Times New Roman" w:cs="Times New Roman"/>
                <w:sz w:val="18"/>
                <w:szCs w:val="18"/>
              </w:rPr>
            </w:pPr>
            <w:r>
              <w:rPr>
                <w:rFonts w:hint="eastAsia" w:ascii="Times New Roman" w:hAnsi="Times New Roman" w:cs="Times New Roman"/>
                <w:sz w:val="18"/>
                <w:szCs w:val="18"/>
              </w:rPr>
              <w:t>0.115</w:t>
            </w:r>
          </w:p>
        </w:tc>
        <w:tc>
          <w:tcPr>
            <w:tcW w:w="1351" w:type="dxa"/>
            <w:vAlign w:val="center"/>
          </w:tcPr>
          <w:p w14:paraId="35C8C276">
            <w:pPr>
              <w:widowControl/>
              <w:jc w:val="center"/>
              <w:textAlignment w:val="center"/>
              <w:rPr>
                <w:rFonts w:ascii="Times New Roman" w:hAnsi="Times New Roman" w:cs="Times New Roman"/>
                <w:sz w:val="18"/>
                <w:szCs w:val="18"/>
              </w:rPr>
            </w:pPr>
            <w:r>
              <w:rPr>
                <w:rFonts w:hint="eastAsia" w:ascii="宋体" w:hAnsi="宋体" w:eastAsia="宋体" w:cs="宋体"/>
                <w:color w:val="000000"/>
                <w:kern w:val="0"/>
                <w:sz w:val="18"/>
                <w:szCs w:val="18"/>
              </w:rPr>
              <w:t>0.0028</w:t>
            </w:r>
          </w:p>
        </w:tc>
      </w:tr>
      <w:tr w14:paraId="08F24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705" w:type="dxa"/>
            <w:vAlign w:val="center"/>
          </w:tcPr>
          <w:p w14:paraId="265FF50C">
            <w:pPr>
              <w:jc w:val="center"/>
              <w:rPr>
                <w:rFonts w:eastAsia="宋体"/>
                <w:sz w:val="18"/>
                <w:szCs w:val="18"/>
              </w:rPr>
            </w:pPr>
            <w:r>
              <w:rPr>
                <w:rFonts w:hint="eastAsia"/>
                <w:sz w:val="18"/>
                <w:szCs w:val="18"/>
              </w:rPr>
              <w:t>6</w:t>
            </w:r>
          </w:p>
        </w:tc>
        <w:tc>
          <w:tcPr>
            <w:tcW w:w="6285" w:type="dxa"/>
          </w:tcPr>
          <w:p w14:paraId="74780DB8">
            <w:pPr>
              <w:rPr>
                <w:sz w:val="18"/>
                <w:szCs w:val="18"/>
              </w:rPr>
            </w:pPr>
            <w:r>
              <w:rPr>
                <w:rFonts w:hint="eastAsia" w:ascii="宋体" w:hAnsi="宋体"/>
              </w:rPr>
              <w:t>是否导致新的收入分配不公、贫富差距加大</w:t>
            </w:r>
          </w:p>
        </w:tc>
        <w:tc>
          <w:tcPr>
            <w:tcW w:w="1425" w:type="dxa"/>
            <w:vAlign w:val="center"/>
          </w:tcPr>
          <w:p w14:paraId="46C1668A">
            <w:pPr>
              <w:jc w:val="center"/>
              <w:rPr>
                <w:rFonts w:eastAsia="宋体"/>
                <w:sz w:val="18"/>
                <w:szCs w:val="18"/>
              </w:rPr>
            </w:pPr>
            <w:r>
              <w:rPr>
                <w:rFonts w:hint="eastAsia" w:eastAsia="宋体"/>
                <w:sz w:val="18"/>
                <w:szCs w:val="18"/>
              </w:rPr>
              <w:t>0.47</w:t>
            </w:r>
          </w:p>
        </w:tc>
        <w:tc>
          <w:tcPr>
            <w:tcW w:w="1395" w:type="dxa"/>
            <w:vAlign w:val="center"/>
          </w:tcPr>
          <w:p w14:paraId="7380D6A7">
            <w:pPr>
              <w:jc w:val="center"/>
              <w:rPr>
                <w:rFonts w:eastAsia="宋体"/>
                <w:sz w:val="18"/>
                <w:szCs w:val="18"/>
              </w:rPr>
            </w:pPr>
            <w:r>
              <w:rPr>
                <w:rFonts w:hint="eastAsia" w:eastAsia="宋体"/>
                <w:sz w:val="18"/>
                <w:szCs w:val="18"/>
              </w:rPr>
              <w:t>0.48</w:t>
            </w:r>
          </w:p>
        </w:tc>
        <w:tc>
          <w:tcPr>
            <w:tcW w:w="1425" w:type="dxa"/>
            <w:vAlign w:val="center"/>
          </w:tcPr>
          <w:p w14:paraId="5323BA4C">
            <w:pPr>
              <w:jc w:val="center"/>
              <w:rPr>
                <w:rFonts w:eastAsia="宋体"/>
                <w:sz w:val="18"/>
                <w:szCs w:val="18"/>
              </w:rPr>
            </w:pPr>
            <w:r>
              <w:rPr>
                <w:rFonts w:hint="eastAsia" w:eastAsia="宋体"/>
                <w:sz w:val="18"/>
                <w:szCs w:val="18"/>
              </w:rPr>
              <w:t>0.226</w:t>
            </w:r>
          </w:p>
        </w:tc>
        <w:tc>
          <w:tcPr>
            <w:tcW w:w="1305" w:type="dxa"/>
            <w:vAlign w:val="center"/>
          </w:tcPr>
          <w:p w14:paraId="198E9B89">
            <w:pPr>
              <w:widowControl/>
              <w:jc w:val="center"/>
              <w:textAlignment w:val="center"/>
              <w:rPr>
                <w:rFonts w:ascii="Times New Roman" w:hAnsi="Times New Roman" w:cs="Times New Roman"/>
                <w:sz w:val="18"/>
                <w:szCs w:val="18"/>
              </w:rPr>
            </w:pPr>
            <w:r>
              <w:rPr>
                <w:rFonts w:hint="eastAsia" w:ascii="Times New Roman" w:hAnsi="Times New Roman" w:cs="Times New Roman"/>
                <w:sz w:val="18"/>
                <w:szCs w:val="18"/>
              </w:rPr>
              <w:t>0.114</w:t>
            </w:r>
          </w:p>
        </w:tc>
        <w:tc>
          <w:tcPr>
            <w:tcW w:w="1351" w:type="dxa"/>
            <w:vAlign w:val="center"/>
          </w:tcPr>
          <w:p w14:paraId="01999D90">
            <w:pPr>
              <w:widowControl/>
              <w:jc w:val="center"/>
              <w:textAlignment w:val="center"/>
              <w:rPr>
                <w:rFonts w:ascii="Times New Roman" w:hAnsi="Times New Roman" w:cs="Times New Roman"/>
                <w:sz w:val="18"/>
                <w:szCs w:val="18"/>
              </w:rPr>
            </w:pPr>
            <w:r>
              <w:rPr>
                <w:rFonts w:hint="eastAsia" w:ascii="宋体" w:hAnsi="宋体" w:eastAsia="宋体" w:cs="宋体"/>
                <w:color w:val="000000"/>
                <w:kern w:val="0"/>
                <w:sz w:val="18"/>
                <w:szCs w:val="18"/>
              </w:rPr>
              <w:t>0.00576</w:t>
            </w:r>
          </w:p>
        </w:tc>
      </w:tr>
      <w:tr w14:paraId="01F70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705" w:type="dxa"/>
            <w:vAlign w:val="center"/>
          </w:tcPr>
          <w:p w14:paraId="6B57BBA2">
            <w:pPr>
              <w:jc w:val="center"/>
              <w:rPr>
                <w:sz w:val="18"/>
                <w:szCs w:val="18"/>
              </w:rPr>
            </w:pPr>
            <w:r>
              <w:rPr>
                <w:rFonts w:hint="eastAsia"/>
                <w:sz w:val="18"/>
                <w:szCs w:val="18"/>
              </w:rPr>
              <w:t>7</w:t>
            </w:r>
          </w:p>
        </w:tc>
        <w:tc>
          <w:tcPr>
            <w:tcW w:w="6285" w:type="dxa"/>
          </w:tcPr>
          <w:p w14:paraId="2754C820">
            <w:pPr>
              <w:rPr>
                <w:sz w:val="18"/>
                <w:szCs w:val="18"/>
              </w:rPr>
            </w:pPr>
            <w:r>
              <w:rPr>
                <w:rFonts w:hint="eastAsia" w:ascii="宋体" w:hAnsi="宋体"/>
              </w:rPr>
              <w:t>学校周边环境对儿童是否存在安全隐患</w:t>
            </w:r>
          </w:p>
        </w:tc>
        <w:tc>
          <w:tcPr>
            <w:tcW w:w="1425" w:type="dxa"/>
            <w:vAlign w:val="center"/>
          </w:tcPr>
          <w:p w14:paraId="6AED186E">
            <w:pPr>
              <w:jc w:val="center"/>
              <w:rPr>
                <w:rFonts w:eastAsia="宋体"/>
                <w:sz w:val="18"/>
                <w:szCs w:val="18"/>
              </w:rPr>
            </w:pPr>
            <w:r>
              <w:rPr>
                <w:rFonts w:hint="eastAsia" w:eastAsia="宋体"/>
                <w:sz w:val="18"/>
                <w:szCs w:val="18"/>
              </w:rPr>
              <w:t>0.49</w:t>
            </w:r>
          </w:p>
        </w:tc>
        <w:tc>
          <w:tcPr>
            <w:tcW w:w="1395" w:type="dxa"/>
            <w:vAlign w:val="center"/>
          </w:tcPr>
          <w:p w14:paraId="316BC523">
            <w:pPr>
              <w:jc w:val="center"/>
              <w:rPr>
                <w:rFonts w:eastAsia="宋体"/>
                <w:sz w:val="18"/>
                <w:szCs w:val="18"/>
              </w:rPr>
            </w:pPr>
            <w:r>
              <w:rPr>
                <w:rFonts w:hint="eastAsia" w:eastAsia="宋体"/>
                <w:sz w:val="18"/>
                <w:szCs w:val="18"/>
              </w:rPr>
              <w:t>0.57</w:t>
            </w:r>
          </w:p>
        </w:tc>
        <w:tc>
          <w:tcPr>
            <w:tcW w:w="1425" w:type="dxa"/>
            <w:vAlign w:val="center"/>
          </w:tcPr>
          <w:p w14:paraId="2F4F7994">
            <w:pPr>
              <w:jc w:val="center"/>
              <w:rPr>
                <w:rFonts w:eastAsia="宋体"/>
                <w:sz w:val="18"/>
                <w:szCs w:val="18"/>
              </w:rPr>
            </w:pPr>
            <w:r>
              <w:rPr>
                <w:rFonts w:hint="eastAsia" w:eastAsia="宋体"/>
                <w:sz w:val="18"/>
                <w:szCs w:val="18"/>
              </w:rPr>
              <w:t>0.279</w:t>
            </w:r>
          </w:p>
        </w:tc>
        <w:tc>
          <w:tcPr>
            <w:tcW w:w="1305" w:type="dxa"/>
            <w:vAlign w:val="center"/>
          </w:tcPr>
          <w:p w14:paraId="44201DBA">
            <w:pPr>
              <w:widowControl/>
              <w:jc w:val="center"/>
              <w:textAlignment w:val="center"/>
              <w:rPr>
                <w:rFonts w:ascii="Times New Roman" w:hAnsi="Times New Roman" w:cs="Times New Roman"/>
                <w:sz w:val="18"/>
                <w:szCs w:val="18"/>
              </w:rPr>
            </w:pPr>
            <w:r>
              <w:rPr>
                <w:rFonts w:hint="eastAsia" w:ascii="Times New Roman" w:hAnsi="Times New Roman" w:cs="Times New Roman"/>
                <w:sz w:val="18"/>
                <w:szCs w:val="18"/>
              </w:rPr>
              <w:t>0.151</w:t>
            </w:r>
          </w:p>
        </w:tc>
        <w:tc>
          <w:tcPr>
            <w:tcW w:w="1351" w:type="dxa"/>
            <w:vAlign w:val="center"/>
          </w:tcPr>
          <w:p w14:paraId="2D13FC72">
            <w:pPr>
              <w:widowControl/>
              <w:jc w:val="center"/>
              <w:textAlignment w:val="center"/>
              <w:rPr>
                <w:rFonts w:ascii="Times New Roman" w:hAnsi="Times New Roman" w:cs="Times New Roman"/>
                <w:sz w:val="18"/>
                <w:szCs w:val="18"/>
              </w:rPr>
            </w:pPr>
            <w:r>
              <w:rPr>
                <w:rFonts w:hint="eastAsia" w:ascii="宋体" w:hAnsi="宋体" w:eastAsia="宋体" w:cs="宋体"/>
                <w:color w:val="000000"/>
                <w:kern w:val="0"/>
                <w:sz w:val="18"/>
                <w:szCs w:val="18"/>
              </w:rPr>
              <w:t>0.022129</w:t>
            </w:r>
          </w:p>
        </w:tc>
      </w:tr>
      <w:tr w14:paraId="437AE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705" w:type="dxa"/>
            <w:vAlign w:val="center"/>
          </w:tcPr>
          <w:p w14:paraId="702088E2">
            <w:pPr>
              <w:jc w:val="center"/>
              <w:rPr>
                <w:sz w:val="18"/>
                <w:szCs w:val="18"/>
              </w:rPr>
            </w:pPr>
            <w:r>
              <w:rPr>
                <w:rFonts w:hint="eastAsia"/>
                <w:sz w:val="18"/>
                <w:szCs w:val="18"/>
              </w:rPr>
              <w:t>8</w:t>
            </w:r>
          </w:p>
        </w:tc>
        <w:tc>
          <w:tcPr>
            <w:tcW w:w="6285" w:type="dxa"/>
          </w:tcPr>
          <w:p w14:paraId="56083926">
            <w:pPr>
              <w:rPr>
                <w:sz w:val="18"/>
                <w:szCs w:val="18"/>
              </w:rPr>
            </w:pPr>
            <w:r>
              <w:rPr>
                <w:rFonts w:hint="eastAsia" w:ascii="宋体" w:hAnsi="宋体"/>
              </w:rPr>
              <w:t>政府监管水平</w:t>
            </w:r>
          </w:p>
        </w:tc>
        <w:tc>
          <w:tcPr>
            <w:tcW w:w="1425" w:type="dxa"/>
            <w:vAlign w:val="center"/>
          </w:tcPr>
          <w:p w14:paraId="63ED5AB8">
            <w:pPr>
              <w:jc w:val="center"/>
              <w:rPr>
                <w:rFonts w:eastAsia="宋体"/>
                <w:sz w:val="18"/>
                <w:szCs w:val="18"/>
              </w:rPr>
            </w:pPr>
            <w:r>
              <w:rPr>
                <w:rFonts w:hint="eastAsia" w:eastAsia="宋体"/>
                <w:sz w:val="18"/>
                <w:szCs w:val="18"/>
              </w:rPr>
              <w:t>0.38</w:t>
            </w:r>
          </w:p>
        </w:tc>
        <w:tc>
          <w:tcPr>
            <w:tcW w:w="1395" w:type="dxa"/>
            <w:vAlign w:val="center"/>
          </w:tcPr>
          <w:p w14:paraId="726902E6">
            <w:pPr>
              <w:jc w:val="center"/>
              <w:rPr>
                <w:rFonts w:eastAsia="宋体"/>
                <w:sz w:val="18"/>
                <w:szCs w:val="18"/>
              </w:rPr>
            </w:pPr>
            <w:r>
              <w:rPr>
                <w:rFonts w:hint="eastAsia" w:eastAsia="宋体"/>
                <w:sz w:val="18"/>
                <w:szCs w:val="18"/>
              </w:rPr>
              <w:t>0.44</w:t>
            </w:r>
          </w:p>
        </w:tc>
        <w:tc>
          <w:tcPr>
            <w:tcW w:w="1425" w:type="dxa"/>
            <w:vAlign w:val="center"/>
          </w:tcPr>
          <w:p w14:paraId="435B8B09">
            <w:pPr>
              <w:jc w:val="center"/>
              <w:rPr>
                <w:rFonts w:eastAsia="宋体"/>
                <w:sz w:val="18"/>
                <w:szCs w:val="18"/>
              </w:rPr>
            </w:pPr>
            <w:r>
              <w:rPr>
                <w:rFonts w:hint="eastAsia" w:eastAsia="宋体"/>
                <w:sz w:val="18"/>
                <w:szCs w:val="18"/>
              </w:rPr>
              <w:t>0.167</w:t>
            </w:r>
          </w:p>
        </w:tc>
        <w:tc>
          <w:tcPr>
            <w:tcW w:w="1305" w:type="dxa"/>
            <w:vAlign w:val="center"/>
          </w:tcPr>
          <w:p w14:paraId="0D2B9B63">
            <w:pPr>
              <w:widowControl/>
              <w:jc w:val="center"/>
              <w:textAlignment w:val="center"/>
              <w:rPr>
                <w:rFonts w:ascii="Times New Roman" w:hAnsi="Times New Roman" w:cs="Times New Roman"/>
                <w:sz w:val="18"/>
                <w:szCs w:val="18"/>
              </w:rPr>
            </w:pPr>
            <w:r>
              <w:rPr>
                <w:rFonts w:hint="eastAsia" w:ascii="Times New Roman" w:hAnsi="Times New Roman" w:cs="Times New Roman"/>
                <w:sz w:val="18"/>
                <w:szCs w:val="18"/>
              </w:rPr>
              <w:t>0.107</w:t>
            </w:r>
          </w:p>
        </w:tc>
        <w:tc>
          <w:tcPr>
            <w:tcW w:w="1351" w:type="dxa"/>
            <w:vAlign w:val="center"/>
          </w:tcPr>
          <w:p w14:paraId="4F668761">
            <w:pPr>
              <w:widowControl/>
              <w:jc w:val="center"/>
              <w:textAlignment w:val="center"/>
              <w:rPr>
                <w:rFonts w:ascii="Times New Roman" w:hAnsi="Times New Roman" w:cs="Times New Roman"/>
                <w:sz w:val="18"/>
                <w:szCs w:val="18"/>
              </w:rPr>
            </w:pPr>
            <w:r>
              <w:rPr>
                <w:rFonts w:hint="eastAsia" w:ascii="宋体" w:hAnsi="宋体" w:eastAsia="宋体" w:cs="宋体"/>
                <w:color w:val="000000"/>
                <w:kern w:val="0"/>
                <w:sz w:val="18"/>
                <w:szCs w:val="18"/>
              </w:rPr>
              <w:t>0.017869</w:t>
            </w:r>
          </w:p>
        </w:tc>
      </w:tr>
      <w:tr w14:paraId="1FE71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705" w:type="dxa"/>
            <w:vAlign w:val="center"/>
          </w:tcPr>
          <w:p w14:paraId="6C3E4689">
            <w:pPr>
              <w:jc w:val="center"/>
              <w:rPr>
                <w:rFonts w:eastAsia="宋体"/>
                <w:sz w:val="18"/>
                <w:szCs w:val="18"/>
              </w:rPr>
            </w:pPr>
            <w:r>
              <w:rPr>
                <w:rFonts w:hint="eastAsia" w:eastAsia="宋体"/>
                <w:sz w:val="18"/>
                <w:szCs w:val="18"/>
              </w:rPr>
              <w:t>9</w:t>
            </w:r>
          </w:p>
        </w:tc>
        <w:tc>
          <w:tcPr>
            <w:tcW w:w="6285" w:type="dxa"/>
          </w:tcPr>
          <w:p w14:paraId="6660CABB">
            <w:pPr>
              <w:rPr>
                <w:rFonts w:ascii="宋体" w:hAnsi="宋体"/>
                <w:sz w:val="18"/>
                <w:szCs w:val="18"/>
              </w:rPr>
            </w:pPr>
            <w:r>
              <w:rPr>
                <w:rFonts w:hint="eastAsia" w:ascii="宋体" w:hAnsi="宋体"/>
                <w:spacing w:val="-4"/>
              </w:rPr>
              <w:t>舆论宣传引导、网络打防管控能力及对负面舆论、恶意炒作应对能力</w:t>
            </w:r>
          </w:p>
        </w:tc>
        <w:tc>
          <w:tcPr>
            <w:tcW w:w="1425" w:type="dxa"/>
            <w:vAlign w:val="center"/>
          </w:tcPr>
          <w:p w14:paraId="2ADFBC01">
            <w:pPr>
              <w:jc w:val="center"/>
              <w:rPr>
                <w:rFonts w:hAnsi="宋体" w:eastAsia="宋体"/>
                <w:sz w:val="18"/>
                <w:szCs w:val="18"/>
              </w:rPr>
            </w:pPr>
            <w:r>
              <w:rPr>
                <w:rFonts w:hint="eastAsia" w:hAnsi="宋体" w:eastAsia="宋体"/>
                <w:sz w:val="18"/>
                <w:szCs w:val="18"/>
              </w:rPr>
              <w:t>0.20</w:t>
            </w:r>
          </w:p>
        </w:tc>
        <w:tc>
          <w:tcPr>
            <w:tcW w:w="1395" w:type="dxa"/>
            <w:vAlign w:val="center"/>
          </w:tcPr>
          <w:p w14:paraId="67BFCD6C">
            <w:pPr>
              <w:jc w:val="center"/>
              <w:rPr>
                <w:rFonts w:hAnsi="宋体" w:eastAsia="宋体"/>
                <w:sz w:val="18"/>
                <w:szCs w:val="18"/>
              </w:rPr>
            </w:pPr>
            <w:r>
              <w:rPr>
                <w:rFonts w:hint="eastAsia" w:hAnsi="宋体" w:eastAsia="宋体"/>
                <w:sz w:val="18"/>
                <w:szCs w:val="18"/>
              </w:rPr>
              <w:t>0.29</w:t>
            </w:r>
          </w:p>
        </w:tc>
        <w:tc>
          <w:tcPr>
            <w:tcW w:w="1425" w:type="dxa"/>
            <w:vAlign w:val="center"/>
          </w:tcPr>
          <w:p w14:paraId="46A6BC86">
            <w:pPr>
              <w:jc w:val="center"/>
              <w:rPr>
                <w:rFonts w:hAnsi="宋体" w:eastAsia="宋体"/>
                <w:sz w:val="18"/>
                <w:szCs w:val="18"/>
              </w:rPr>
            </w:pPr>
            <w:r>
              <w:rPr>
                <w:rFonts w:hint="eastAsia" w:hAnsi="宋体" w:eastAsia="宋体"/>
                <w:sz w:val="18"/>
                <w:szCs w:val="18"/>
              </w:rPr>
              <w:t>0.058</w:t>
            </w:r>
          </w:p>
        </w:tc>
        <w:tc>
          <w:tcPr>
            <w:tcW w:w="1305" w:type="dxa"/>
            <w:vAlign w:val="center"/>
          </w:tcPr>
          <w:p w14:paraId="5BA3E0A1">
            <w:pPr>
              <w:widowControl/>
              <w:jc w:val="center"/>
              <w:textAlignment w:val="center"/>
              <w:rPr>
                <w:rFonts w:ascii="Times New Roman" w:hAnsi="Times New Roman" w:cs="Times New Roman"/>
                <w:sz w:val="18"/>
                <w:szCs w:val="18"/>
              </w:rPr>
            </w:pPr>
            <w:r>
              <w:rPr>
                <w:rFonts w:hint="eastAsia" w:ascii="Times New Roman" w:hAnsi="Times New Roman" w:cs="Times New Roman"/>
                <w:sz w:val="18"/>
                <w:szCs w:val="18"/>
              </w:rPr>
              <w:t>0.021</w:t>
            </w:r>
          </w:p>
        </w:tc>
        <w:tc>
          <w:tcPr>
            <w:tcW w:w="1351" w:type="dxa"/>
            <w:vAlign w:val="center"/>
          </w:tcPr>
          <w:p w14:paraId="3DA64FBC">
            <w:pPr>
              <w:widowControl/>
              <w:jc w:val="center"/>
              <w:textAlignment w:val="center"/>
              <w:rPr>
                <w:rFonts w:ascii="Times New Roman" w:hAnsi="Times New Roman" w:cs="Times New Roman"/>
                <w:sz w:val="18"/>
                <w:szCs w:val="18"/>
              </w:rPr>
            </w:pPr>
            <w:r>
              <w:rPr>
                <w:rFonts w:hint="eastAsia" w:ascii="宋体" w:hAnsi="宋体" w:eastAsia="宋体" w:cs="宋体"/>
                <w:color w:val="000000"/>
                <w:kern w:val="0"/>
                <w:sz w:val="18"/>
                <w:szCs w:val="18"/>
              </w:rPr>
              <w:t>0.001218</w:t>
            </w:r>
          </w:p>
        </w:tc>
      </w:tr>
      <w:tr w14:paraId="72F51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705" w:type="dxa"/>
            <w:vAlign w:val="center"/>
          </w:tcPr>
          <w:p w14:paraId="7A177667">
            <w:pPr>
              <w:jc w:val="center"/>
              <w:rPr>
                <w:sz w:val="18"/>
                <w:szCs w:val="18"/>
              </w:rPr>
            </w:pPr>
            <w:r>
              <w:rPr>
                <w:rFonts w:hint="eastAsia"/>
                <w:sz w:val="18"/>
                <w:szCs w:val="18"/>
              </w:rPr>
              <w:t>10</w:t>
            </w:r>
          </w:p>
        </w:tc>
        <w:tc>
          <w:tcPr>
            <w:tcW w:w="6285" w:type="dxa"/>
          </w:tcPr>
          <w:p w14:paraId="12C70CD0">
            <w:pPr>
              <w:rPr>
                <w:rFonts w:hAnsi="宋体"/>
                <w:sz w:val="18"/>
                <w:szCs w:val="18"/>
              </w:rPr>
            </w:pPr>
            <w:r>
              <w:rPr>
                <w:rFonts w:hint="eastAsia" w:ascii="宋体" w:hAnsi="宋体"/>
              </w:rPr>
              <w:t>政府各职能部门信息沟通渠道是否畅通</w:t>
            </w:r>
          </w:p>
        </w:tc>
        <w:tc>
          <w:tcPr>
            <w:tcW w:w="1425" w:type="dxa"/>
            <w:vAlign w:val="center"/>
          </w:tcPr>
          <w:p w14:paraId="2015B18A">
            <w:pPr>
              <w:jc w:val="center"/>
              <w:rPr>
                <w:rFonts w:hAnsi="宋体" w:eastAsia="宋体"/>
                <w:sz w:val="18"/>
                <w:szCs w:val="18"/>
              </w:rPr>
            </w:pPr>
            <w:r>
              <w:rPr>
                <w:rFonts w:hint="eastAsia" w:hAnsi="宋体" w:eastAsia="宋体"/>
                <w:sz w:val="18"/>
                <w:szCs w:val="18"/>
              </w:rPr>
              <w:t>0.38</w:t>
            </w:r>
          </w:p>
        </w:tc>
        <w:tc>
          <w:tcPr>
            <w:tcW w:w="1395" w:type="dxa"/>
            <w:vAlign w:val="center"/>
          </w:tcPr>
          <w:p w14:paraId="464F3336">
            <w:pPr>
              <w:jc w:val="center"/>
              <w:rPr>
                <w:rFonts w:hAnsi="宋体" w:eastAsia="宋体"/>
                <w:sz w:val="18"/>
                <w:szCs w:val="18"/>
              </w:rPr>
            </w:pPr>
            <w:r>
              <w:rPr>
                <w:rFonts w:hint="eastAsia" w:hAnsi="宋体" w:eastAsia="宋体"/>
                <w:sz w:val="18"/>
                <w:szCs w:val="18"/>
              </w:rPr>
              <w:t>0.36</w:t>
            </w:r>
          </w:p>
        </w:tc>
        <w:tc>
          <w:tcPr>
            <w:tcW w:w="1425" w:type="dxa"/>
            <w:vAlign w:val="center"/>
          </w:tcPr>
          <w:p w14:paraId="12E03A11">
            <w:pPr>
              <w:jc w:val="center"/>
              <w:rPr>
                <w:rFonts w:hAnsi="宋体" w:eastAsia="宋体"/>
                <w:sz w:val="18"/>
                <w:szCs w:val="18"/>
              </w:rPr>
            </w:pPr>
            <w:r>
              <w:rPr>
                <w:rFonts w:hint="eastAsia" w:hAnsi="宋体" w:eastAsia="宋体"/>
                <w:sz w:val="18"/>
                <w:szCs w:val="18"/>
              </w:rPr>
              <w:t>0.137</w:t>
            </w:r>
          </w:p>
        </w:tc>
        <w:tc>
          <w:tcPr>
            <w:tcW w:w="1305" w:type="dxa"/>
            <w:vAlign w:val="center"/>
          </w:tcPr>
          <w:p w14:paraId="2FEB8AB9">
            <w:pPr>
              <w:widowControl/>
              <w:jc w:val="center"/>
              <w:textAlignment w:val="center"/>
              <w:rPr>
                <w:rFonts w:ascii="Times New Roman" w:hAnsi="Times New Roman" w:cs="Times New Roman"/>
                <w:sz w:val="18"/>
                <w:szCs w:val="18"/>
              </w:rPr>
            </w:pPr>
            <w:r>
              <w:rPr>
                <w:rFonts w:hint="eastAsia" w:ascii="Times New Roman" w:hAnsi="Times New Roman" w:cs="Times New Roman"/>
                <w:sz w:val="18"/>
                <w:szCs w:val="18"/>
              </w:rPr>
              <w:t>0.089</w:t>
            </w:r>
          </w:p>
        </w:tc>
        <w:tc>
          <w:tcPr>
            <w:tcW w:w="1351" w:type="dxa"/>
            <w:vAlign w:val="center"/>
          </w:tcPr>
          <w:p w14:paraId="2B18CB55">
            <w:pPr>
              <w:widowControl/>
              <w:jc w:val="center"/>
              <w:textAlignment w:val="center"/>
              <w:rPr>
                <w:rFonts w:ascii="Times New Roman" w:hAnsi="Times New Roman" w:cs="Times New Roman"/>
                <w:sz w:val="18"/>
                <w:szCs w:val="18"/>
              </w:rPr>
            </w:pPr>
            <w:r>
              <w:rPr>
                <w:rFonts w:hint="eastAsia" w:ascii="宋体" w:hAnsi="宋体" w:eastAsia="宋体" w:cs="宋体"/>
                <w:color w:val="000000"/>
                <w:kern w:val="0"/>
                <w:sz w:val="18"/>
                <w:szCs w:val="18"/>
              </w:rPr>
              <w:t>0.012193</w:t>
            </w:r>
          </w:p>
        </w:tc>
      </w:tr>
      <w:tr w14:paraId="0B885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6990" w:type="dxa"/>
            <w:gridSpan w:val="2"/>
            <w:vAlign w:val="center"/>
          </w:tcPr>
          <w:p w14:paraId="16C3AE72">
            <w:pPr>
              <w:rPr>
                <w:rFonts w:ascii="宋体" w:hAnsi="宋体" w:eastAsia="宋体"/>
                <w:sz w:val="18"/>
                <w:szCs w:val="18"/>
              </w:rPr>
            </w:pPr>
            <w:r>
              <w:rPr>
                <w:rFonts w:hint="eastAsia" w:ascii="宋体" w:hAnsi="宋体"/>
                <w:sz w:val="18"/>
                <w:szCs w:val="18"/>
              </w:rPr>
              <w:t xml:space="preserve">                           汇总</w:t>
            </w:r>
          </w:p>
        </w:tc>
        <w:tc>
          <w:tcPr>
            <w:tcW w:w="1425" w:type="dxa"/>
            <w:vAlign w:val="center"/>
          </w:tcPr>
          <w:p w14:paraId="20EC7E0D">
            <w:pPr>
              <w:jc w:val="center"/>
              <w:rPr>
                <w:sz w:val="18"/>
                <w:szCs w:val="18"/>
              </w:rPr>
            </w:pPr>
          </w:p>
        </w:tc>
        <w:tc>
          <w:tcPr>
            <w:tcW w:w="1395" w:type="dxa"/>
            <w:vAlign w:val="center"/>
          </w:tcPr>
          <w:p w14:paraId="7D58B18E">
            <w:pPr>
              <w:jc w:val="center"/>
              <w:rPr>
                <w:rFonts w:hAnsi="宋体"/>
                <w:sz w:val="18"/>
                <w:szCs w:val="18"/>
              </w:rPr>
            </w:pPr>
          </w:p>
        </w:tc>
        <w:tc>
          <w:tcPr>
            <w:tcW w:w="1425" w:type="dxa"/>
            <w:vAlign w:val="center"/>
          </w:tcPr>
          <w:p w14:paraId="118A2937">
            <w:pPr>
              <w:jc w:val="center"/>
              <w:rPr>
                <w:rFonts w:hAnsi="宋体"/>
                <w:sz w:val="18"/>
                <w:szCs w:val="18"/>
              </w:rPr>
            </w:pPr>
          </w:p>
        </w:tc>
        <w:tc>
          <w:tcPr>
            <w:tcW w:w="1305" w:type="dxa"/>
            <w:vAlign w:val="center"/>
          </w:tcPr>
          <w:p w14:paraId="716E034A">
            <w:pPr>
              <w:jc w:val="center"/>
              <w:rPr>
                <w:rFonts w:hAnsi="宋体"/>
                <w:sz w:val="18"/>
                <w:szCs w:val="18"/>
              </w:rPr>
            </w:pPr>
            <w:r>
              <w:rPr>
                <w:rFonts w:hint="eastAsia" w:hAnsi="宋体"/>
                <w:sz w:val="18"/>
                <w:szCs w:val="18"/>
              </w:rPr>
              <w:t>1</w:t>
            </w:r>
          </w:p>
        </w:tc>
        <w:tc>
          <w:tcPr>
            <w:tcW w:w="1351" w:type="dxa"/>
            <w:vAlign w:val="center"/>
          </w:tcPr>
          <w:p w14:paraId="441A8B79">
            <w:pPr>
              <w:widowControl/>
              <w:jc w:val="center"/>
              <w:textAlignment w:val="center"/>
              <w:rPr>
                <w:rFonts w:hAnsi="宋体"/>
                <w:sz w:val="18"/>
                <w:szCs w:val="18"/>
              </w:rPr>
            </w:pPr>
            <w:r>
              <w:rPr>
                <w:rFonts w:hint="eastAsia" w:ascii="宋体" w:hAnsi="宋体" w:eastAsia="宋体" w:cs="宋体"/>
                <w:color w:val="000000"/>
                <w:kern w:val="0"/>
                <w:sz w:val="18"/>
                <w:szCs w:val="18"/>
              </w:rPr>
              <w:t>0.0925</w:t>
            </w:r>
          </w:p>
        </w:tc>
      </w:tr>
    </w:tbl>
    <w:p w14:paraId="76AAD1B4">
      <w:pPr>
        <w:ind w:firstLine="420" w:firstLineChars="200"/>
        <w:rPr>
          <w:rFonts w:ascii="仿宋" w:hAnsi="仿宋" w:eastAsia="仿宋" w:cs="仿宋"/>
          <w:kern w:val="0"/>
          <w:szCs w:val="21"/>
        </w:rPr>
      </w:pPr>
      <w:r>
        <w:rPr>
          <w:rFonts w:hint="eastAsia" w:ascii="仿宋" w:hAnsi="仿宋" w:eastAsia="仿宋" w:cs="仿宋"/>
          <w:kern w:val="0"/>
          <w:szCs w:val="21"/>
        </w:rPr>
        <w:t>注：1、风险因素权重作归一化处理。2、风险概率（p），按照风险因素发生的可能性将概率划分为五个档次，很高(概率在81%-100%)、较高(概率在61%-80%)、中等(概率在41%-60%)、较低(概率在21%-40%)、很低(概率在0-20%)，可依据经验或预测进行确定。3、影响程度（q），按照风险发生后对工程的影响大小，划分为五个影响等级，严重（定量判断标准81%-100%）、较大（定量判断标准61%-80%）、中等（定量判断标准41%-60%）、较小（定量判断标准21%-40%）、可忽略（定量判断标准0-20%）。 4、风险程度（R），具体数值根据本项目特点，结合项目所在地的经济社会发展状况与项目适应性确定，可分为重大（定量判断标准为：R＞0.64）、较大（定量判断标准为0.64≥R＞0.36）、一般（定量判断标准为0.36≥R＞0.16）、较小（定量判断标准为0.16≥R＞0.04）、微小（定量判断标准为0.04≥R≥0）五个等级。</w:t>
      </w:r>
    </w:p>
    <w:p w14:paraId="5B3FC56A">
      <w:pPr>
        <w:sectPr>
          <w:pgSz w:w="16838" w:h="11906" w:orient="landscape"/>
          <w:pgMar w:top="1800" w:right="1440" w:bottom="1800" w:left="1440" w:header="851" w:footer="992" w:gutter="0"/>
          <w:cols w:space="425" w:num="1"/>
          <w:docGrid w:type="lines" w:linePitch="312" w:charSpace="0"/>
        </w:sectPr>
      </w:pPr>
    </w:p>
    <w:p w14:paraId="0E79C594">
      <w:pPr>
        <w:spacing w:line="560" w:lineRule="exact"/>
        <w:ind w:firstLine="562" w:firstLineChars="200"/>
        <w:rPr>
          <w:rFonts w:ascii="宋体" w:hAnsi="宋体"/>
          <w:b/>
          <w:sz w:val="28"/>
          <w:szCs w:val="28"/>
        </w:rPr>
      </w:pPr>
      <w:r>
        <w:rPr>
          <w:rFonts w:hint="eastAsia" w:ascii="宋体" w:hAnsi="宋体"/>
          <w:b/>
          <w:sz w:val="28"/>
          <w:szCs w:val="28"/>
        </w:rPr>
        <w:t>（六）落实风险防范、化解的有关建议</w:t>
      </w:r>
    </w:p>
    <w:p w14:paraId="0A975F33">
      <w:pPr>
        <w:spacing w:line="560" w:lineRule="exact"/>
        <w:ind w:firstLine="560" w:firstLineChars="200"/>
        <w:rPr>
          <w:rFonts w:ascii="宋体" w:hAnsi="宋体"/>
          <w:sz w:val="28"/>
          <w:szCs w:val="28"/>
        </w:rPr>
      </w:pPr>
      <w:r>
        <w:rPr>
          <w:rFonts w:hint="eastAsia" w:ascii="宋体" w:hAnsi="宋体"/>
          <w:sz w:val="28"/>
          <w:szCs w:val="28"/>
        </w:rPr>
        <w:t>1、加强组织领导。成立由</w:t>
      </w:r>
      <w:r>
        <w:rPr>
          <w:rFonts w:hint="eastAsia" w:hAnsi="宋体"/>
          <w:sz w:val="28"/>
          <w:szCs w:val="28"/>
        </w:rPr>
        <w:t>莱山区教育和体育局</w:t>
      </w:r>
      <w:r>
        <w:rPr>
          <w:rFonts w:hint="eastAsia" w:ascii="宋体" w:hAnsi="宋体"/>
          <w:sz w:val="28"/>
          <w:szCs w:val="28"/>
        </w:rPr>
        <w:t>牵头，政府办、宣传部、公安局、司法局、发改委、经信委、信访局、民政局、文化局等党政机构和其它相关职能部门参加的《规划》决策与实施联席会议，统筹安排此项工作；</w:t>
      </w:r>
    </w:p>
    <w:p w14:paraId="1037BD4E">
      <w:pPr>
        <w:spacing w:line="560" w:lineRule="exact"/>
        <w:ind w:firstLine="560" w:firstLineChars="200"/>
        <w:rPr>
          <w:rFonts w:ascii="宋体" w:hAnsi="宋体"/>
          <w:sz w:val="28"/>
          <w:szCs w:val="28"/>
        </w:rPr>
      </w:pPr>
      <w:r>
        <w:rPr>
          <w:rFonts w:hint="eastAsia" w:ascii="宋体" w:hAnsi="宋体"/>
          <w:sz w:val="28"/>
          <w:szCs w:val="28"/>
        </w:rPr>
        <w:t>2、建立社会稳定风险预警制度。编制应急预案，控制风险事件，将不稳定因素的影响控制在最小范围内；构建合理、畅通的风险管理联动机制，化解社会矛盾与冲突；加强舆情监控，严防少数不怀好意的人乘机鼓动、破坏安定团结的大好局面；</w:t>
      </w:r>
    </w:p>
    <w:p w14:paraId="510C3A8C">
      <w:pPr>
        <w:spacing w:line="560" w:lineRule="exact"/>
        <w:ind w:firstLine="560" w:firstLineChars="200"/>
        <w:rPr>
          <w:rFonts w:ascii="宋体" w:hAnsi="宋体"/>
          <w:sz w:val="28"/>
          <w:szCs w:val="28"/>
        </w:rPr>
      </w:pPr>
      <w:r>
        <w:rPr>
          <w:rFonts w:hint="eastAsia" w:ascii="宋体" w:hAnsi="宋体"/>
          <w:sz w:val="28"/>
          <w:szCs w:val="28"/>
        </w:rPr>
        <w:t>3、建立《规划》决策社会稳定风险处置预案。预案应包括工作原则、指挥体系、信息预警、应急响应、应急措施等内容；</w:t>
      </w:r>
    </w:p>
    <w:p w14:paraId="18A2DA99">
      <w:pPr>
        <w:spacing w:line="560" w:lineRule="exact"/>
        <w:ind w:firstLine="560" w:firstLineChars="200"/>
        <w:rPr>
          <w:rFonts w:ascii="宋体" w:hAnsi="宋体"/>
          <w:sz w:val="28"/>
          <w:szCs w:val="28"/>
        </w:rPr>
      </w:pPr>
      <w:r>
        <w:rPr>
          <w:rFonts w:hint="eastAsia" w:ascii="宋体" w:hAnsi="宋体"/>
          <w:sz w:val="28"/>
          <w:szCs w:val="28"/>
        </w:rPr>
        <w:t>4、加强舆论宣传工作。动员各类媒体，利用社区黑板报、及时公布项目进展情况；</w:t>
      </w:r>
    </w:p>
    <w:p w14:paraId="09E4D347">
      <w:pPr>
        <w:spacing w:line="560" w:lineRule="exact"/>
        <w:ind w:firstLine="560" w:firstLineChars="200"/>
        <w:rPr>
          <w:rFonts w:ascii="宋体" w:hAnsi="宋体"/>
          <w:sz w:val="28"/>
          <w:szCs w:val="28"/>
        </w:rPr>
      </w:pPr>
    </w:p>
    <w:p w14:paraId="07DB1C0B"/>
    <w:p w14:paraId="02008FBA"/>
    <w:p w14:paraId="68E46847"/>
    <w:p w14:paraId="55BAD02F"/>
    <w:p w14:paraId="65C4BCA1"/>
    <w:p w14:paraId="188BCCD8"/>
    <w:p w14:paraId="773A0759"/>
    <w:p w14:paraId="4F7DBB5E"/>
    <w:p w14:paraId="68E61BF9"/>
    <w:p w14:paraId="00CB9E32"/>
    <w:p w14:paraId="2989F9B3"/>
    <w:p w14:paraId="3029183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E8CEF6">
    <w:pPr>
      <w:pStyle w:val="3"/>
    </w:pPr>
    <w:r>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path/>
          <v:fill on="f" focussize="0,0"/>
          <v:stroke on="f" weight="0.5pt" joinstyle="miter"/>
          <v:imagedata o:title=""/>
          <o:lock v:ext="edit"/>
          <v:textbox inset="0mm,0mm,0mm,0mm" style="mso-fit-shape-to-text:t;">
            <w:txbxContent>
              <w:p w14:paraId="0265E736">
                <w:pPr>
                  <w:pStyle w:val="3"/>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documentProtection w:enforcement="0"/>
  <w:defaultTabStop w:val="420"/>
  <w:drawingGridHorizontalSpacing w:val="105"/>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TE2NzdjYTFjNmE3ZjU5NWIzNTIwZDBiYzZhOTdhYjcifQ=="/>
  </w:docVars>
  <w:rsids>
    <w:rsidRoot w:val="009C3F27"/>
    <w:rsid w:val="004D1724"/>
    <w:rsid w:val="004F55EB"/>
    <w:rsid w:val="006C7800"/>
    <w:rsid w:val="007B1508"/>
    <w:rsid w:val="007D0355"/>
    <w:rsid w:val="00820BAB"/>
    <w:rsid w:val="00861B24"/>
    <w:rsid w:val="00893DB1"/>
    <w:rsid w:val="008B285C"/>
    <w:rsid w:val="00985A77"/>
    <w:rsid w:val="009C3F27"/>
    <w:rsid w:val="00A54701"/>
    <w:rsid w:val="00AD1FC2"/>
    <w:rsid w:val="00D52859"/>
    <w:rsid w:val="00D600D3"/>
    <w:rsid w:val="00E61EBA"/>
    <w:rsid w:val="010403EC"/>
    <w:rsid w:val="041550F1"/>
    <w:rsid w:val="067E340A"/>
    <w:rsid w:val="06D82569"/>
    <w:rsid w:val="07F01E58"/>
    <w:rsid w:val="0BF528C6"/>
    <w:rsid w:val="0C0E68F1"/>
    <w:rsid w:val="108E6382"/>
    <w:rsid w:val="11F75B6B"/>
    <w:rsid w:val="125130E3"/>
    <w:rsid w:val="128461C2"/>
    <w:rsid w:val="19816FCB"/>
    <w:rsid w:val="19C94EA8"/>
    <w:rsid w:val="1B07123F"/>
    <w:rsid w:val="1F8C7308"/>
    <w:rsid w:val="20B6194E"/>
    <w:rsid w:val="21A12811"/>
    <w:rsid w:val="22D1532E"/>
    <w:rsid w:val="23095920"/>
    <w:rsid w:val="2365612D"/>
    <w:rsid w:val="24B5461E"/>
    <w:rsid w:val="24B5539B"/>
    <w:rsid w:val="253B2008"/>
    <w:rsid w:val="253F6111"/>
    <w:rsid w:val="2547486D"/>
    <w:rsid w:val="262B50BA"/>
    <w:rsid w:val="264A4566"/>
    <w:rsid w:val="26A52622"/>
    <w:rsid w:val="26B31071"/>
    <w:rsid w:val="29034DC5"/>
    <w:rsid w:val="29486ABD"/>
    <w:rsid w:val="29F76240"/>
    <w:rsid w:val="2C323A33"/>
    <w:rsid w:val="2D187EB7"/>
    <w:rsid w:val="2D1C2552"/>
    <w:rsid w:val="30592CC4"/>
    <w:rsid w:val="30F215C4"/>
    <w:rsid w:val="34776611"/>
    <w:rsid w:val="35121ECE"/>
    <w:rsid w:val="36396F58"/>
    <w:rsid w:val="37D70412"/>
    <w:rsid w:val="3843272F"/>
    <w:rsid w:val="38A47B71"/>
    <w:rsid w:val="38B612CF"/>
    <w:rsid w:val="3B2109CD"/>
    <w:rsid w:val="3C7A5402"/>
    <w:rsid w:val="3CF406FD"/>
    <w:rsid w:val="41BA4B8D"/>
    <w:rsid w:val="43B17BC7"/>
    <w:rsid w:val="46EE1DEE"/>
    <w:rsid w:val="47FA6F84"/>
    <w:rsid w:val="48EC5824"/>
    <w:rsid w:val="4C6E7F4D"/>
    <w:rsid w:val="4CE638BF"/>
    <w:rsid w:val="4D3275D8"/>
    <w:rsid w:val="4F1336AC"/>
    <w:rsid w:val="4F96721E"/>
    <w:rsid w:val="4FB75FC5"/>
    <w:rsid w:val="505B6EA4"/>
    <w:rsid w:val="50B861D0"/>
    <w:rsid w:val="530C4E6D"/>
    <w:rsid w:val="53B95AC0"/>
    <w:rsid w:val="548F039B"/>
    <w:rsid w:val="55D17294"/>
    <w:rsid w:val="56994357"/>
    <w:rsid w:val="58AE40FA"/>
    <w:rsid w:val="5932202B"/>
    <w:rsid w:val="5AFA194B"/>
    <w:rsid w:val="5B6C20DF"/>
    <w:rsid w:val="5BC57081"/>
    <w:rsid w:val="5F535C86"/>
    <w:rsid w:val="5FAF3E6E"/>
    <w:rsid w:val="61E612AA"/>
    <w:rsid w:val="63570BBE"/>
    <w:rsid w:val="665F3EC6"/>
    <w:rsid w:val="6A12229D"/>
    <w:rsid w:val="6B8C3F00"/>
    <w:rsid w:val="6D6F1163"/>
    <w:rsid w:val="6DC10D92"/>
    <w:rsid w:val="6E966CB6"/>
    <w:rsid w:val="720B3B4F"/>
    <w:rsid w:val="7347364D"/>
    <w:rsid w:val="73EE255B"/>
    <w:rsid w:val="768013CD"/>
    <w:rsid w:val="76F1151D"/>
    <w:rsid w:val="77ED4537"/>
    <w:rsid w:val="783D059C"/>
    <w:rsid w:val="7AFD7EC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pPr>
      <w:autoSpaceDE w:val="0"/>
      <w:autoSpaceDN w:val="0"/>
      <w:jc w:val="left"/>
    </w:pPr>
    <w:rPr>
      <w:rFonts w:ascii="宋体" w:hAnsi="宋体" w:eastAsia="宋体" w:cs="宋体"/>
      <w:kern w:val="0"/>
      <w:sz w:val="24"/>
      <w:szCs w:val="24"/>
      <w:lang w:eastAsia="en-US"/>
    </w:rPr>
  </w:style>
  <w:style w:type="paragraph" w:styleId="3">
    <w:name w:val="footer"/>
    <w:basedOn w:val="1"/>
    <w:semiHidden/>
    <w:unhideWhenUsed/>
    <w:qFormat/>
    <w:uiPriority w:val="99"/>
    <w:pPr>
      <w:tabs>
        <w:tab w:val="center" w:pos="4153"/>
        <w:tab w:val="right" w:pos="8306"/>
      </w:tabs>
      <w:snapToGrid w:val="0"/>
      <w:jc w:val="left"/>
    </w:pPr>
    <w:rPr>
      <w:sz w:val="18"/>
    </w:rPr>
  </w:style>
  <w:style w:type="paragraph" w:styleId="4">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7">
    <w:name w:val="Strong"/>
    <w:basedOn w:val="6"/>
    <w:qFormat/>
    <w:uiPriority w:val="22"/>
    <w:rPr>
      <w:rFonts w:ascii="微软雅黑" w:hAnsi="微软雅黑" w:eastAsia="微软雅黑" w:cs="微软雅黑"/>
      <w:b/>
      <w:color w:val="333333"/>
    </w:rPr>
  </w:style>
  <w:style w:type="character" w:styleId="8">
    <w:name w:val="FollowedHyperlink"/>
    <w:basedOn w:val="6"/>
    <w:semiHidden/>
    <w:unhideWhenUsed/>
    <w:qFormat/>
    <w:uiPriority w:val="99"/>
    <w:rPr>
      <w:rFonts w:hint="eastAsia" w:ascii="微软雅黑" w:hAnsi="微软雅黑" w:eastAsia="微软雅黑" w:cs="微软雅黑"/>
      <w:color w:val="333333"/>
      <w:u w:val="none"/>
    </w:rPr>
  </w:style>
  <w:style w:type="character" w:styleId="9">
    <w:name w:val="Emphasis"/>
    <w:basedOn w:val="6"/>
    <w:qFormat/>
    <w:uiPriority w:val="20"/>
    <w:rPr>
      <w:rFonts w:hint="eastAsia" w:ascii="微软雅黑" w:hAnsi="微软雅黑" w:eastAsia="微软雅黑" w:cs="微软雅黑"/>
      <w:i/>
      <w:color w:val="333333"/>
    </w:rPr>
  </w:style>
  <w:style w:type="character" w:styleId="10">
    <w:name w:val="Hyperlink"/>
    <w:basedOn w:val="6"/>
    <w:semiHidden/>
    <w:unhideWhenUsed/>
    <w:qFormat/>
    <w:uiPriority w:val="99"/>
    <w:rPr>
      <w:rFonts w:hint="eastAsia" w:ascii="微软雅黑" w:hAnsi="微软雅黑" w:eastAsia="微软雅黑" w:cs="微软雅黑"/>
      <w:color w:val="333333"/>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6405</Words>
  <Characters>6887</Characters>
  <Lines>51</Lines>
  <Paragraphs>14</Paragraphs>
  <TotalTime>9</TotalTime>
  <ScaleCrop>false</ScaleCrop>
  <LinksUpToDate>false</LinksUpToDate>
  <CharactersWithSpaces>6925</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2019-09-26T14:39:00Z</dcterms:created>
  <dc:creator>acer</dc:creator>
  <cp:lastModifiedBy>中意你</cp:lastModifiedBy>
  <cp:lastPrinted>2019-09-27T01:18:00Z</cp:lastPrinted>
  <dcterms:modified xsi:type="dcterms:W3CDTF">2024-11-12T03:22:05Z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9072CB2C8E44471F9E3A62425251A410_12</vt:lpwstr>
  </property>
</Properties>
</file>