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烟台市莱山区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2022年度区级预算执行和其他财政收支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审计工作报告</w:t>
      </w:r>
    </w:p>
    <w:p>
      <w:pPr>
        <w:spacing w:line="560" w:lineRule="exact"/>
        <w:ind w:firstLine="733" w:firstLineChars="166"/>
        <w:jc w:val="center"/>
        <w:rPr>
          <w:rFonts w:ascii="宋体" w:hAnsi="宋体"/>
          <w:b/>
          <w:bCs/>
          <w:sz w:val="44"/>
        </w:rPr>
      </w:pPr>
    </w:p>
    <w:p>
      <w:pPr>
        <w:spacing w:line="560" w:lineRule="exact"/>
        <w:jc w:val="center"/>
        <w:rPr>
          <w:rFonts w:ascii="楷体_GB2312" w:hAnsi="宋体" w:eastAsia="楷体_GB2312"/>
        </w:rPr>
      </w:pPr>
      <w:r>
        <w:rPr>
          <w:rFonts w:ascii="Gulim" w:hAnsi="Gulim" w:eastAsia="Gulim"/>
        </w:rPr>
        <w:t>——</w:t>
      </w:r>
      <w:r>
        <w:rPr>
          <w:rFonts w:hint="eastAsia" w:ascii="楷体_GB2312" w:hAnsi="宋体" w:eastAsia="楷体_GB2312"/>
        </w:rPr>
        <w:t>2023年8月</w:t>
      </w:r>
      <w:r>
        <w:rPr>
          <w:rFonts w:hint="eastAsia" w:ascii="楷体_GB2312" w:hAnsi="宋体" w:eastAsia="楷体_GB2312"/>
          <w:lang w:val="en-US" w:eastAsia="zh-CN"/>
        </w:rPr>
        <w:t>22</w:t>
      </w:r>
      <w:r>
        <w:rPr>
          <w:rFonts w:hint="eastAsia" w:ascii="楷体_GB2312" w:hAnsi="宋体" w:eastAsia="楷体_GB2312"/>
        </w:rPr>
        <w:t>日在</w:t>
      </w:r>
      <w:r>
        <w:rPr>
          <w:rFonts w:hint="eastAsia" w:ascii="楷体_GB2312" w:hAnsi="楷体" w:eastAsia="楷体_GB2312"/>
          <w:color w:val="000000"/>
          <w:szCs w:val="32"/>
        </w:rPr>
        <w:t>区</w:t>
      </w:r>
      <w:r>
        <w:rPr>
          <w:rFonts w:hint="eastAsia" w:ascii="楷体_GB2312" w:hAnsi="楷体" w:eastAsia="楷体_GB2312"/>
          <w:color w:val="000000"/>
          <w:szCs w:val="32"/>
          <w:lang w:val="en-US" w:eastAsia="zh-CN"/>
        </w:rPr>
        <w:t>七</w:t>
      </w:r>
      <w:r>
        <w:rPr>
          <w:rFonts w:hint="eastAsia" w:ascii="楷体_GB2312" w:hAnsi="楷体" w:eastAsia="楷体_GB2312"/>
          <w:color w:val="000000"/>
          <w:szCs w:val="32"/>
        </w:rPr>
        <w:t>届人大常委会第</w:t>
      </w:r>
      <w:r>
        <w:rPr>
          <w:rFonts w:hint="eastAsia" w:ascii="楷体_GB2312" w:hAnsi="楷体" w:eastAsia="楷体_GB2312"/>
          <w:color w:val="000000"/>
          <w:szCs w:val="32"/>
          <w:lang w:val="en-US" w:eastAsia="zh-CN"/>
        </w:rPr>
        <w:t>十一</w:t>
      </w:r>
      <w:r>
        <w:rPr>
          <w:rFonts w:hint="eastAsia" w:ascii="楷体_GB2312" w:hAnsi="楷体" w:eastAsia="楷体_GB2312"/>
          <w:color w:val="000000"/>
          <w:szCs w:val="32"/>
        </w:rPr>
        <w:t>次会议上</w:t>
      </w:r>
    </w:p>
    <w:p>
      <w:pPr>
        <w:spacing w:line="560" w:lineRule="exact"/>
        <w:ind w:firstLine="531" w:firstLineChars="166"/>
        <w:jc w:val="center"/>
        <w:rPr>
          <w:rFonts w:ascii="楷体_GB2312" w:hAnsi="宋体" w:eastAsia="楷体_GB2312"/>
        </w:rPr>
      </w:pPr>
      <w:r>
        <w:rPr>
          <w:rFonts w:hint="eastAsia" w:ascii="楷体_GB2312" w:hAnsi="宋体" w:eastAsia="楷体_GB2312"/>
        </w:rPr>
        <w:t>烟台市莱山区审计局局长  王军卫</w:t>
      </w:r>
    </w:p>
    <w:p>
      <w:pPr>
        <w:spacing w:line="560" w:lineRule="exact"/>
        <w:rPr>
          <w:rFonts w:ascii="仿宋_GB2312" w:hAnsi="宋体"/>
        </w:rPr>
      </w:pPr>
    </w:p>
    <w:p>
      <w:pPr>
        <w:spacing w:line="560" w:lineRule="exact"/>
        <w:rPr>
          <w:rFonts w:ascii="仿宋_GB2312" w:hAnsi="宋体"/>
        </w:rPr>
      </w:pPr>
      <w:r>
        <w:rPr>
          <w:rFonts w:hint="eastAsia" w:ascii="仿宋_GB2312" w:hAnsi="宋体"/>
        </w:rPr>
        <w:t>主任、各位副主任、各位委员：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受区政府委托，我向本次会议汇报2022年度区级预算执行和其他财政收支的审计情况，请予审议。</w:t>
      </w:r>
    </w:p>
    <w:p>
      <w:pPr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</w:rPr>
        <w:t>根据区委、区政府工作部署，区审计局依法对2022年度区级预算执行和其他财政收支情况进行了审计。审计中，我们坚持以习近平新时代中国特色社会主义思想为指导，心系“国之大者”、服务“中心工作 ”、突出“问题导向”、深化“巡审联动”，聚焦财政管理、部门预算执行、风险防范、民生保障、国有资产管理等领域，扎实做好常态化“经济体检”工作，在维护民生利益、促进经济安全发展、推动深化改革、推进反腐倡廉等方面积极发挥作用。审计结果表明：2022年，全区认真贯彻落实党中央、国务院决策部署和区委、区政府工作安排，深入贯彻疫情要防住、经济要稳住、发展要安全的总体要求，全区经济运行稳中有进、稳中向好，财政治理能力不断加强。</w:t>
      </w:r>
    </w:p>
    <w:p>
      <w:pPr>
        <w:spacing w:line="560" w:lineRule="exact"/>
        <w:ind w:firstLine="64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</w:t>
      </w:r>
      <w:r>
        <w:rPr>
          <w:rFonts w:ascii="黑体" w:hAnsi="黑体" w:eastAsia="黑体"/>
        </w:rPr>
        <w:t>、</w:t>
      </w:r>
      <w:r>
        <w:rPr>
          <w:rFonts w:hint="eastAsia" w:ascii="黑体" w:hAnsi="黑体" w:eastAsia="黑体"/>
        </w:rPr>
        <w:t>预决算管理审计发现的主要问题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kern w:val="0"/>
          <w:szCs w:val="32"/>
        </w:rPr>
      </w:pPr>
      <w:r>
        <w:rPr>
          <w:rFonts w:hint="eastAsia" w:ascii="楷体_GB2312" w:hAnsi="楷体_GB2312" w:eastAsia="楷体_GB2312" w:cs="楷体_GB2312"/>
          <w:kern w:val="0"/>
          <w:szCs w:val="32"/>
        </w:rPr>
        <w:t>（一）全口径预算管理方面</w:t>
      </w:r>
    </w:p>
    <w:p>
      <w:pPr>
        <w:spacing w:line="560" w:lineRule="exact"/>
        <w:ind w:firstLine="640" w:firstLineChars="200"/>
        <w:rPr>
          <w:rFonts w:ascii="仿宋_GB2312" w:cs="仿宋_GB2312"/>
          <w:kern w:val="0"/>
          <w:szCs w:val="32"/>
        </w:rPr>
      </w:pPr>
      <w:r>
        <w:rPr>
          <w:rFonts w:hint="eastAsia" w:ascii="仿宋_GB2312" w:cs="仿宋_GB2312"/>
          <w:kern w:val="0"/>
          <w:szCs w:val="32"/>
        </w:rPr>
        <w:t>1.预算编制不完整。一是2022年未将预算部门上年结转</w:t>
      </w:r>
      <w:r>
        <w:rPr>
          <w:rFonts w:hint="eastAsia" w:ascii="仿宋_GB2312" w:cs="仿宋_GB2312"/>
          <w:kern w:val="0"/>
          <w:szCs w:val="32"/>
          <w:lang w:val="en-US" w:eastAsia="zh-CN"/>
        </w:rPr>
        <w:t>结余</w:t>
      </w:r>
      <w:r>
        <w:rPr>
          <w:rFonts w:hint="eastAsia" w:ascii="仿宋_GB2312" w:cs="仿宋_GB2312"/>
          <w:kern w:val="0"/>
          <w:szCs w:val="32"/>
        </w:rPr>
        <w:t>资金49384.76万元编入年初预算；二是提前下达转移支付指标234.12万元未编入年初预算</w:t>
      </w:r>
      <w:r>
        <w:rPr>
          <w:rFonts w:hint="eastAsia" w:ascii="仿宋_GB2312" w:hAnsi="仿宋_GB2312" w:cs="仿宋_GB2312"/>
          <w:kern w:val="0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2.年初预算批复到位率偏低。</w:t>
      </w:r>
      <w:r>
        <w:rPr>
          <w:rFonts w:hint="eastAsia" w:ascii="仿宋_GB2312" w:cs="仿宋_GB2312"/>
          <w:kern w:val="0"/>
          <w:szCs w:val="32"/>
        </w:rPr>
        <w:t>2022年年初公共财政预算</w:t>
      </w:r>
      <w:r>
        <w:rPr>
          <w:rFonts w:ascii="仿宋_GB2312" w:cs="仿宋_GB2312"/>
          <w:kern w:val="0"/>
          <w:szCs w:val="32"/>
        </w:rPr>
        <w:t>8</w:t>
      </w:r>
      <w:r>
        <w:rPr>
          <w:rFonts w:hint="eastAsia" w:ascii="仿宋_GB2312" w:cs="仿宋_GB2312"/>
          <w:kern w:val="0"/>
          <w:szCs w:val="32"/>
        </w:rPr>
        <w:t>.</w:t>
      </w:r>
      <w:r>
        <w:rPr>
          <w:rFonts w:ascii="仿宋_GB2312" w:cs="仿宋_GB2312"/>
          <w:kern w:val="0"/>
          <w:szCs w:val="32"/>
        </w:rPr>
        <w:t>4</w:t>
      </w:r>
      <w:r>
        <w:rPr>
          <w:rFonts w:hint="eastAsia" w:ascii="仿宋_GB2312" w:cs="仿宋_GB2312"/>
          <w:kern w:val="0"/>
          <w:szCs w:val="32"/>
        </w:rPr>
        <w:t>6亿元未批复到具体部门或单位，批复到位率为</w:t>
      </w:r>
      <w:r>
        <w:rPr>
          <w:rFonts w:ascii="仿宋_GB2312" w:cs="仿宋_GB2312"/>
          <w:kern w:val="0"/>
          <w:szCs w:val="32"/>
        </w:rPr>
        <w:t>86</w:t>
      </w:r>
      <w:r>
        <w:rPr>
          <w:rFonts w:hint="eastAsia" w:ascii="仿宋_GB2312" w:cs="仿宋_GB2312"/>
          <w:kern w:val="0"/>
          <w:szCs w:val="32"/>
        </w:rPr>
        <w:t>.</w:t>
      </w:r>
      <w:r>
        <w:rPr>
          <w:rFonts w:ascii="仿宋_GB2312" w:cs="仿宋_GB2312"/>
          <w:kern w:val="0"/>
          <w:szCs w:val="32"/>
        </w:rPr>
        <w:t>95</w:t>
      </w:r>
      <w:r>
        <w:rPr>
          <w:rFonts w:hint="eastAsia" w:ascii="仿宋_GB2312" w:cs="仿宋_GB2312"/>
          <w:kern w:val="0"/>
          <w:szCs w:val="32"/>
        </w:rPr>
        <w:t>%。</w:t>
      </w:r>
    </w:p>
    <w:p>
      <w:pPr>
        <w:spacing w:line="560" w:lineRule="exact"/>
        <w:ind w:firstLine="640" w:firstLineChars="200"/>
      </w:pPr>
      <w:r>
        <w:rPr>
          <w:rFonts w:hint="eastAsia" w:ascii="仿宋_GB2312" w:hAnsi="仿宋_GB2312" w:cs="仿宋_GB2312"/>
          <w:kern w:val="0"/>
          <w:szCs w:val="32"/>
        </w:rPr>
        <w:t>3.转移支付资金未及时分配。</w:t>
      </w:r>
      <w:r>
        <w:rPr>
          <w:rFonts w:hint="eastAsia" w:ascii="仿宋_GB2312" w:cs="仿宋_GB2312"/>
          <w:kern w:val="0"/>
          <w:szCs w:val="32"/>
        </w:rPr>
        <w:t>截至2022年底，未及时分配上级转移支付资金</w:t>
      </w:r>
      <w:r>
        <w:rPr>
          <w:rFonts w:hint="eastAsia" w:ascii="仿宋_GB2312" w:hAnsi="仿宋_GB2312" w:cs="仿宋_GB2312"/>
          <w:kern w:val="0"/>
          <w:szCs w:val="32"/>
        </w:rPr>
        <w:t>50376.30万元</w:t>
      </w:r>
      <w:r>
        <w:rPr>
          <w:rFonts w:hint="eastAsia" w:ascii="仿宋_GB2312" w:cs="仿宋_GB2312"/>
          <w:kern w:val="0"/>
          <w:szCs w:val="32"/>
        </w:rPr>
        <w:t>。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kern w:val="0"/>
          <w:szCs w:val="32"/>
        </w:rPr>
      </w:pPr>
      <w:r>
        <w:rPr>
          <w:rFonts w:hint="eastAsia" w:ascii="楷体_GB2312" w:hAnsi="楷体_GB2312" w:eastAsia="楷体_GB2312" w:cs="楷体_GB2312"/>
          <w:kern w:val="0"/>
          <w:szCs w:val="32"/>
        </w:rPr>
        <w:t>（二）推进预算高效执行方面</w:t>
      </w:r>
    </w:p>
    <w:p>
      <w:pPr>
        <w:spacing w:line="560" w:lineRule="exact"/>
        <w:ind w:firstLine="640" w:firstLineChars="200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1.非税收入上缴不及时。14个部门街道将非税收入合计</w:t>
      </w:r>
      <w:r>
        <w:rPr>
          <w:rFonts w:hint="eastAsia" w:ascii="仿宋_GB2312" w:hAnsi="仿宋_GB2312" w:cs="仿宋_GB2312"/>
          <w:kern w:val="0"/>
          <w:szCs w:val="32"/>
          <w:lang w:val="en-US" w:eastAsia="zh-CN"/>
        </w:rPr>
        <w:t>449</w:t>
      </w:r>
      <w:r>
        <w:rPr>
          <w:rFonts w:hint="eastAsia" w:ascii="仿宋_GB2312" w:hAnsi="仿宋_GB2312" w:cs="仿宋_GB2312"/>
          <w:kern w:val="0"/>
          <w:szCs w:val="32"/>
        </w:rPr>
        <w:t>万元存放于单位实有资金账户，未及时上缴财政。</w:t>
      </w:r>
    </w:p>
    <w:p>
      <w:pPr>
        <w:spacing w:line="560" w:lineRule="exact"/>
        <w:ind w:firstLine="640" w:firstLineChars="200"/>
        <w:rPr>
          <w:rFonts w:hint="eastAsia"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2.预算执行率低。9个部门单位的62个项目执行率低于50%，涉及资金9355.59万元，其中：7个部门单位的28个项目全未支出，涉及项目资金1619.86万元；执行中调减或年底收回财政7909.28万元，占84.54%。</w:t>
      </w:r>
    </w:p>
    <w:p>
      <w:pPr>
        <w:spacing w:line="560" w:lineRule="exact"/>
        <w:ind w:firstLine="640" w:firstLineChars="200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3.应执行未执行采购预算。4个部门应执行未执行采购预算12.7</w:t>
      </w:r>
      <w:r>
        <w:rPr>
          <w:rFonts w:hint="eastAsia" w:ascii="仿宋_GB2312" w:hAnsi="仿宋_GB2312" w:cs="仿宋_GB2312"/>
          <w:kern w:val="0"/>
          <w:szCs w:val="32"/>
          <w:lang w:val="en-US" w:eastAsia="zh-CN"/>
        </w:rPr>
        <w:t>0</w:t>
      </w:r>
      <w:r>
        <w:rPr>
          <w:rFonts w:hint="eastAsia" w:ascii="仿宋_GB2312" w:hAnsi="仿宋_GB2312" w:cs="仿宋_GB2312"/>
          <w:kern w:val="0"/>
          <w:szCs w:val="32"/>
        </w:rPr>
        <w:t>万元，影响了财政资金的使用效益。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kern w:val="0"/>
          <w:szCs w:val="32"/>
        </w:rPr>
      </w:pPr>
      <w:r>
        <w:rPr>
          <w:rFonts w:hint="eastAsia" w:ascii="楷体_GB2312" w:hAnsi="楷体_GB2312" w:eastAsia="楷体_GB2312" w:cs="楷体_GB2312"/>
          <w:kern w:val="0"/>
          <w:szCs w:val="32"/>
        </w:rPr>
        <w:t>（三）国有资产审计方面</w:t>
      </w:r>
    </w:p>
    <w:p>
      <w:pPr>
        <w:spacing w:line="560" w:lineRule="exact"/>
        <w:ind w:firstLine="640" w:firstLineChars="200"/>
        <w:rPr>
          <w:rFonts w:hint="eastAsia"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1.建设项目未履行法定程序即开工建设。个别单位2022年开展视频会议系统平台项目建设，未按照领导班子民主决策要求履行项目立项、追加预算、政府采购等法定程序，截至目前，项目已完工并投入使用，但项目物资及工程款项无法支付。</w:t>
      </w:r>
    </w:p>
    <w:p>
      <w:pPr>
        <w:spacing w:line="560" w:lineRule="exact"/>
        <w:ind w:firstLine="640" w:firstLineChars="200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2.固定资产未及时入账。3个单位2022年购置固定资产121.98万元，未及时纳入固定资产账内核算。</w:t>
      </w:r>
    </w:p>
    <w:p>
      <w:pPr>
        <w:spacing w:line="560" w:lineRule="exact"/>
        <w:ind w:firstLine="640" w:firstLineChars="200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3.救灾应急物资账实不符。个别单位</w:t>
      </w:r>
      <w:r>
        <w:rPr>
          <w:rFonts w:hint="eastAsia" w:ascii="仿宋_GB2312" w:hAnsi="仿宋_GB2312" w:cs="仿宋_GB2312"/>
          <w:bCs/>
          <w:kern w:val="0"/>
          <w:szCs w:val="32"/>
        </w:rPr>
        <w:t>购买、接收</w:t>
      </w:r>
      <w:r>
        <w:rPr>
          <w:rFonts w:hint="eastAsia" w:ascii="仿宋_GB2312" w:hAnsi="仿宋_GB2312" w:cs="仿宋_GB2312"/>
          <w:kern w:val="0"/>
          <w:szCs w:val="32"/>
        </w:rPr>
        <w:t>救灾应急物资未及时进行账务处理，导致账实不符12.86万元。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kern w:val="0"/>
          <w:szCs w:val="32"/>
        </w:rPr>
      </w:pPr>
      <w:r>
        <w:rPr>
          <w:rFonts w:hint="eastAsia" w:ascii="楷体_GB2312" w:hAnsi="楷体_GB2312" w:eastAsia="楷体_GB2312" w:cs="楷体_GB2312"/>
          <w:kern w:val="0"/>
          <w:szCs w:val="32"/>
        </w:rPr>
        <w:t>（四）落实中央要求各级政府过紧日子方面</w:t>
      </w:r>
    </w:p>
    <w:p>
      <w:pPr>
        <w:spacing w:line="560" w:lineRule="exact"/>
        <w:ind w:firstLine="640" w:firstLineChars="200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1.沉淀资金统筹消化不到位。10个预算单位实有资金账户1年以上闲置资金93.11万元，未得到有效盘活消化。</w:t>
      </w:r>
    </w:p>
    <w:p>
      <w:pPr>
        <w:spacing w:line="560" w:lineRule="exact"/>
        <w:ind w:firstLine="640" w:firstLineChars="200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2.其他科目列支五项费用。2个单位在其他科目列支公务用车运行维护费，涉及金额合计2.39万元。</w:t>
      </w:r>
    </w:p>
    <w:p>
      <w:pPr>
        <w:pStyle w:val="2"/>
        <w:spacing w:after="0" w:line="560" w:lineRule="exact"/>
        <w:ind w:firstLine="640" w:firstLineChars="200"/>
        <w:rPr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3.会议费支出管控不严。2个单位未在内部会议室举办50人以下的小型会议，</w:t>
      </w:r>
      <w:r>
        <w:rPr>
          <w:rFonts w:hint="eastAsia" w:ascii="仿宋_GB2312" w:hAnsi="仿宋_GB2312" w:cs="仿宋_GB2312"/>
          <w:szCs w:val="32"/>
        </w:rPr>
        <w:t>支付会议室租金等2.79万元；</w:t>
      </w:r>
      <w:r>
        <w:rPr>
          <w:rFonts w:hint="eastAsia" w:ascii="仿宋_GB2312" w:hAnsi="仿宋_GB2312" w:cs="仿宋_GB2312"/>
          <w:kern w:val="0"/>
          <w:szCs w:val="32"/>
        </w:rPr>
        <w:t>个别单位未按规定对会议费进行一次一结，</w:t>
      </w:r>
      <w:r>
        <w:rPr>
          <w:rFonts w:hint="eastAsia" w:ascii="仿宋_GB2312" w:hAnsi="仿宋_GB2312" w:cs="仿宋_GB2312"/>
          <w:szCs w:val="32"/>
        </w:rPr>
        <w:t>涉及金额17.36万元。</w:t>
      </w:r>
    </w:p>
    <w:p>
      <w:pPr>
        <w:spacing w:line="56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4.一般性支出压减不到位。3个部门未按照要求对“五项经费”预算进行压减，</w:t>
      </w:r>
      <w:r>
        <w:rPr>
          <w:rFonts w:hint="eastAsia" w:ascii="仿宋_GB2312" w:hAnsi="仿宋_GB2312" w:cs="仿宋_GB2312"/>
          <w:szCs w:val="32"/>
        </w:rPr>
        <w:t>增加</w:t>
      </w:r>
      <w:r>
        <w:rPr>
          <w:rFonts w:hint="eastAsia" w:ascii="仿宋_GB2312" w:hAnsi="仿宋_GB2312" w:cs="仿宋_GB2312"/>
          <w:szCs w:val="32"/>
          <w:lang w:val="en-US" w:eastAsia="zh-CN"/>
        </w:rPr>
        <w:t>预算</w:t>
      </w:r>
      <w:r>
        <w:rPr>
          <w:rFonts w:hint="eastAsia" w:ascii="仿宋_GB2312" w:hAnsi="仿宋_GB2312" w:cs="仿宋_GB2312"/>
          <w:szCs w:val="32"/>
        </w:rPr>
        <w:t>4.64万元</w:t>
      </w:r>
      <w:r>
        <w:rPr>
          <w:rFonts w:hint="eastAsia" w:ascii="仿宋_GB2312" w:hAnsi="仿宋_GB2312" w:cs="仿宋_GB2312"/>
          <w:kern w:val="0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5.未严格执行公务用车使用信息登记制度。2个单位公务用车使用台账登记不规范，公务用车使用信息登记存在信息遗漏情况。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kern w:val="0"/>
          <w:szCs w:val="32"/>
        </w:rPr>
      </w:pPr>
      <w:r>
        <w:rPr>
          <w:rFonts w:hint="eastAsia" w:ascii="楷体_GB2312" w:hAnsi="楷体_GB2312" w:eastAsia="楷体_GB2312" w:cs="楷体_GB2312"/>
          <w:kern w:val="0"/>
          <w:szCs w:val="32"/>
        </w:rPr>
        <w:t>（五）全面实施预算绩效管理和财政支出提质增效方面</w:t>
      </w:r>
    </w:p>
    <w:p>
      <w:pPr>
        <w:spacing w:line="560" w:lineRule="exact"/>
        <w:ind w:firstLine="640" w:firstLineChars="200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1.项目支出绩效监控不到位。6个单位的18个项目未实行绩效监控，涉及预算金额5868.98万元。</w:t>
      </w:r>
    </w:p>
    <w:p>
      <w:pPr>
        <w:spacing w:line="560" w:lineRule="exact"/>
        <w:ind w:firstLine="640" w:firstLineChars="200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2.未实现项目支出绩效自评全覆盖。</w:t>
      </w:r>
      <w:r>
        <w:rPr>
          <w:rFonts w:hint="eastAsia" w:ascii="仿宋_GB2312" w:hAnsi="仿宋_GB2312" w:cs="仿宋_GB2312"/>
          <w:szCs w:val="32"/>
        </w:rPr>
        <w:t>4个单位未对2021年的16个项目开展绩效自评，涉及</w:t>
      </w:r>
      <w:r>
        <w:rPr>
          <w:rFonts w:hint="eastAsia" w:ascii="仿宋_GB2312" w:hAnsi="仿宋_GB2312" w:cs="仿宋_GB2312"/>
          <w:kern w:val="0"/>
          <w:szCs w:val="32"/>
        </w:rPr>
        <w:t>预算</w:t>
      </w:r>
      <w:r>
        <w:rPr>
          <w:rFonts w:hint="eastAsia" w:ascii="仿宋_GB2312" w:hAnsi="仿宋_GB2312" w:cs="仿宋_GB2312"/>
          <w:szCs w:val="32"/>
        </w:rPr>
        <w:t>金额1506.32万元。</w:t>
      </w:r>
    </w:p>
    <w:p>
      <w:pPr>
        <w:adjustRightInd w:val="0"/>
        <w:spacing w:line="590" w:lineRule="exact"/>
        <w:ind w:firstLine="640" w:firstLineChars="200"/>
        <w:rPr>
          <w:rFonts w:ascii="仿宋_GB2312" w:hAnsi="仿宋_GB2312" w:cs="仿宋_GB2312"/>
          <w:kern w:val="0"/>
          <w:szCs w:val="32"/>
          <w:highlight w:val="none"/>
        </w:rPr>
      </w:pPr>
      <w:r>
        <w:rPr>
          <w:rFonts w:hint="eastAsia" w:ascii="仿宋_GB2312" w:hAnsi="仿宋_GB2312" w:cs="仿宋_GB2312"/>
          <w:kern w:val="0"/>
          <w:szCs w:val="32"/>
        </w:rPr>
        <w:t>3.部分专项资金监管不到位。个别单位向企业拨付扶持资金、引导资金后，</w:t>
      </w:r>
      <w:r>
        <w:rPr>
          <w:rFonts w:hint="eastAsia" w:ascii="仿宋_GB2312" w:hAnsi="仿宋_GB2312" w:cs="仿宋_GB2312"/>
          <w:bCs/>
          <w:kern w:val="0"/>
          <w:szCs w:val="32"/>
        </w:rPr>
        <w:t>未按照要求开展专项资金使用情况跟踪检查，不能提供相关检查情况的书面记录，未履行绩效监控主体责任。</w:t>
      </w:r>
    </w:p>
    <w:p>
      <w:pPr>
        <w:spacing w:line="56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二、政府专项债券管理使用情况发现的主要问题</w:t>
      </w:r>
    </w:p>
    <w:p>
      <w:pPr>
        <w:overflowPunct w:val="0"/>
        <w:adjustRightInd w:val="0"/>
        <w:spacing w:line="560" w:lineRule="exact"/>
        <w:ind w:firstLine="640" w:firstLineChars="200"/>
        <w:rPr>
          <w:rFonts w:ascii="楷体_GB2312" w:hAnsi="楷体_GB2312" w:eastAsia="楷体_GB2312" w:cs="楷体_GB2312"/>
          <w:color w:val="000000"/>
          <w:spacing w:val="-6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szCs w:val="32"/>
        </w:rPr>
        <w:t>（一）</w:t>
      </w:r>
      <w:r>
        <w:rPr>
          <w:rFonts w:hint="eastAsia" w:ascii="楷体_GB2312" w:hAnsi="楷体_GB2312" w:eastAsia="楷体_GB2312" w:cs="楷体_GB2312"/>
          <w:color w:val="000000"/>
          <w:spacing w:val="-6"/>
          <w:szCs w:val="32"/>
          <w:shd w:val="clear" w:color="auto" w:fill="FFFFFF"/>
        </w:rPr>
        <w:t>项目管理方面</w:t>
      </w:r>
    </w:p>
    <w:p>
      <w:pPr>
        <w:pStyle w:val="7"/>
        <w:spacing w:line="560" w:lineRule="exact"/>
        <w:ind w:firstLine="640" w:firstLineChars="200"/>
        <w:jc w:val="both"/>
        <w:rPr>
          <w:rFonts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一是个别项目手续不完整即开工建设。二是个别项目前期准备不充分，部分子项目难以开工或进展缓慢。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</w:t>
      </w:r>
      <w:r>
        <w:rPr>
          <w:rFonts w:hint="eastAsia" w:ascii="楷体_GB2312" w:hAnsi="楷体_GB2312" w:eastAsia="楷体_GB2312" w:cs="楷体_GB231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Cs w:val="32"/>
        </w:rPr>
        <w:t>）风险防控方面</w:t>
      </w:r>
    </w:p>
    <w:p>
      <w:pPr>
        <w:pStyle w:val="7"/>
        <w:spacing w:line="560" w:lineRule="exact"/>
        <w:ind w:firstLine="616" w:firstLineChars="200"/>
        <w:jc w:val="both"/>
        <w:rPr>
          <w:rFonts w:ascii="仿宋_GB2312" w:hAnsi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cs="仿宋_GB2312"/>
          <w:spacing w:val="-6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spacing w:val="-6"/>
          <w:sz w:val="32"/>
          <w:szCs w:val="32"/>
        </w:rPr>
        <w:t>个债券项目</w:t>
      </w:r>
      <w:r>
        <w:rPr>
          <w:rFonts w:hint="eastAsia" w:ascii="仿宋_GB2312" w:hAnsi="仿宋_GB2312" w:cs="仿宋_GB2312"/>
          <w:spacing w:val="-6"/>
          <w:sz w:val="32"/>
          <w:szCs w:val="32"/>
          <w:lang w:val="en-US" w:eastAsia="zh-CN"/>
        </w:rPr>
        <w:t>投产</w:t>
      </w:r>
      <w:r>
        <w:rPr>
          <w:rFonts w:hint="eastAsia" w:ascii="仿宋_GB2312" w:hAnsi="仿宋_GB2312" w:cs="仿宋_GB2312"/>
          <w:spacing w:val="-6"/>
          <w:sz w:val="32"/>
          <w:szCs w:val="32"/>
        </w:rPr>
        <w:t>运营效果不佳，未达到预期收益目标。</w:t>
      </w:r>
    </w:p>
    <w:p>
      <w:pPr>
        <w:pStyle w:val="8"/>
        <w:spacing w:line="560" w:lineRule="exact"/>
        <w:ind w:firstLine="640" w:firstLineChars="200"/>
        <w:rPr>
          <w:rFonts w:ascii="Calibri" w:hAnsi="Calibri" w:cs="Calibri"/>
          <w:color w:val="000000"/>
          <w:sz w:val="32"/>
          <w:szCs w:val="32"/>
        </w:rPr>
      </w:pPr>
      <w:r>
        <w:rPr>
          <w:rFonts w:hint="eastAsia" w:ascii="黑体" w:hAnsi="黑体" w:eastAsia="黑体" w:cs="Calibri"/>
          <w:color w:val="000000"/>
          <w:sz w:val="32"/>
          <w:szCs w:val="32"/>
          <w:lang w:val="en-US" w:eastAsia="zh-CN"/>
        </w:rPr>
        <w:t>三</w:t>
      </w:r>
      <w:bookmarkStart w:id="0" w:name="_GoBack"/>
      <w:bookmarkEnd w:id="0"/>
      <w:r>
        <w:rPr>
          <w:rFonts w:hint="eastAsia" w:ascii="黑体" w:hAnsi="黑体" w:eastAsia="黑体" w:cs="Calibri"/>
          <w:color w:val="000000"/>
          <w:sz w:val="32"/>
          <w:szCs w:val="32"/>
        </w:rPr>
        <w:t>、原因分析及审计建议</w:t>
      </w:r>
    </w:p>
    <w:p>
      <w:pPr>
        <w:pStyle w:val="8"/>
        <w:spacing w:line="560" w:lineRule="exact"/>
        <w:ind w:firstLine="640" w:firstLineChars="200"/>
        <w:rPr>
          <w:sz w:val="32"/>
        </w:rPr>
      </w:pPr>
      <w:r>
        <w:rPr>
          <w:rFonts w:hint="eastAsia"/>
          <w:sz w:val="32"/>
        </w:rPr>
        <w:t>从审计情况看，以上问题产生的主要原因有些是制度制定不够及时，同时缺少后续监督机制；有些是部门间沟通协作还不够有效；有些是工作人员纪律意识、责任意识、服务意识不强。为此提出审计建议如下：</w:t>
      </w:r>
    </w:p>
    <w:p>
      <w:pPr>
        <w:pStyle w:val="8"/>
        <w:spacing w:line="560" w:lineRule="exact"/>
        <w:ind w:firstLine="640" w:firstLineChars="200"/>
        <w:rPr>
          <w:sz w:val="32"/>
        </w:rPr>
      </w:pPr>
      <w:r>
        <w:rPr>
          <w:rFonts w:hint="eastAsia" w:ascii="楷体_GB2312" w:eastAsia="楷体_GB2312"/>
          <w:bCs/>
          <w:sz w:val="32"/>
        </w:rPr>
        <w:t>（一）深化财政体制改革，提高资金使用效益。</w:t>
      </w:r>
      <w:r>
        <w:rPr>
          <w:rFonts w:hint="eastAsia"/>
          <w:sz w:val="32"/>
        </w:rPr>
        <w:t>加大财政资金统筹，强化</w:t>
      </w:r>
      <w:r>
        <w:rPr>
          <w:rFonts w:hint="eastAsia"/>
          <w:sz w:val="32"/>
          <w:lang w:val="en-US" w:eastAsia="zh-CN"/>
        </w:rPr>
        <w:t>四</w:t>
      </w:r>
      <w:r>
        <w:rPr>
          <w:rFonts w:hint="eastAsia"/>
          <w:sz w:val="32"/>
        </w:rPr>
        <w:t>本预算衔接和存量资金盘活，提升财政综合管理效能；积极推进零基预算，严格规范代编预算，增强预算刚性约束；严格落实政府过紧日子的要求，合理控制政府运行成本；强化财政资金全过程监管，不断夯实合同管理、政府采购管理、财务管理等内控基础工作。</w:t>
      </w:r>
    </w:p>
    <w:p>
      <w:pPr>
        <w:pStyle w:val="8"/>
        <w:spacing w:line="560" w:lineRule="exact"/>
        <w:ind w:firstLine="640" w:firstLineChars="200"/>
        <w:rPr>
          <w:sz w:val="32"/>
        </w:rPr>
      </w:pPr>
      <w:r>
        <w:rPr>
          <w:rFonts w:hint="eastAsia" w:ascii="楷体_GB2312" w:eastAsia="楷体_GB2312"/>
          <w:bCs/>
          <w:sz w:val="32"/>
        </w:rPr>
        <w:t>（二）完善工作机制，促进重大政策措施贯彻落实。</w:t>
      </w:r>
      <w:r>
        <w:rPr>
          <w:rFonts w:hint="eastAsia"/>
          <w:sz w:val="32"/>
        </w:rPr>
        <w:t>建立完善政策落实跟踪检查机制，修订完善相关制度，促进政策有效衔接；不断完善部门间协调工作机制，强化项目推进中的过程监管及综合协调，确保各项工作规范可控；加强内部控制，细化完善制度规定和操作流程，不断强化执行，发挥内部审计监督作用。</w:t>
      </w:r>
    </w:p>
    <w:p>
      <w:pPr>
        <w:pStyle w:val="8"/>
        <w:spacing w:line="560" w:lineRule="exact"/>
        <w:ind w:firstLine="640" w:firstLineChars="200"/>
        <w:rPr>
          <w:sz w:val="32"/>
        </w:rPr>
      </w:pPr>
      <w:r>
        <w:rPr>
          <w:rFonts w:hint="eastAsia" w:ascii="楷体_GB2312" w:eastAsia="楷体_GB2312"/>
          <w:bCs/>
          <w:sz w:val="32"/>
        </w:rPr>
        <w:t>（三）紧盯薄弱环节，强化重点领域风险管控。</w:t>
      </w:r>
      <w:r>
        <w:rPr>
          <w:rFonts w:hint="eastAsia"/>
          <w:sz w:val="32"/>
        </w:rPr>
        <w:t>加强项目管理，把财政承受能力评估嵌入项目决策和立项管理流程，从源头上防止“半拉子”项目和烂尾工程；加强专项债券管理，建立</w:t>
      </w:r>
      <w:r>
        <w:rPr>
          <w:rFonts w:hint="eastAsia"/>
          <w:sz w:val="32"/>
          <w:lang w:val="en-US" w:eastAsia="zh-CN"/>
        </w:rPr>
        <w:t>政府</w:t>
      </w:r>
      <w:r>
        <w:rPr>
          <w:rFonts w:hint="eastAsia"/>
          <w:sz w:val="32"/>
        </w:rPr>
        <w:t xml:space="preserve">偿债备付金制度，严防挤占挪用；加强政府投资项目管理，进一步完善政府投资项目招投标管理，切实强化建设单位主体责任，促进政府投资建设规范有序开展。 </w:t>
      </w:r>
    </w:p>
    <w:p>
      <w:pPr>
        <w:pStyle w:val="8"/>
        <w:spacing w:line="560" w:lineRule="exact"/>
        <w:ind w:firstLine="640" w:firstLineChars="200"/>
        <w:rPr>
          <w:sz w:val="32"/>
        </w:rPr>
      </w:pPr>
      <w:r>
        <w:rPr>
          <w:rFonts w:hint="eastAsia" w:ascii="楷体_GB2312" w:eastAsia="楷体_GB2312"/>
          <w:bCs/>
          <w:sz w:val="32"/>
        </w:rPr>
        <w:t>（四）严肃财经纪律，严守纪律底线。</w:t>
      </w:r>
      <w:r>
        <w:rPr>
          <w:rFonts w:hint="eastAsia"/>
          <w:sz w:val="32"/>
        </w:rPr>
        <w:t>不断增强法治意识，相关部门和人员加强法律法规政策制度学习，严格执行各项纪律要求。加强审核管理和风险防控，及时发现、纠正问题，确保财政资金使用安全、规范。同时，也要加强服务意识，为进一步优化营商环境，促进经济高质量发展，主动作为，强化服务。</w:t>
      </w:r>
    </w:p>
    <w:p>
      <w:pPr>
        <w:widowControl/>
        <w:spacing w:line="560" w:lineRule="exact"/>
        <w:ind w:firstLine="640" w:firstLineChars="200"/>
      </w:pPr>
      <w:r>
        <w:rPr>
          <w:rFonts w:hint="eastAsia"/>
        </w:rPr>
        <w:t>对审计发现的问题，区审计局已依法出具审计报告和作出审计决定；对重要审计情况，及时上报区委区政府。下一步区审计局将加大审计整改情况的跟踪检查力度，完善整改约谈和责任追究机制，对整改不力、敷衍整改、虚假整改的，严肃问责。具体审计整改情况，将于今年年底前向区人大常委会作出报告。对预算执行审计的结果，区审计局将依法向社会公告。</w:t>
      </w:r>
    </w:p>
    <w:p>
      <w:pPr>
        <w:widowControl/>
        <w:spacing w:line="560" w:lineRule="exact"/>
        <w:ind w:firstLine="640" w:firstLineChars="200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4D"/>
    <w:rsid w:val="0000036A"/>
    <w:rsid w:val="0001783B"/>
    <w:rsid w:val="00024635"/>
    <w:rsid w:val="0010036B"/>
    <w:rsid w:val="001446E2"/>
    <w:rsid w:val="00172AC5"/>
    <w:rsid w:val="001E5C5F"/>
    <w:rsid w:val="0024463D"/>
    <w:rsid w:val="00285A1B"/>
    <w:rsid w:val="003170B4"/>
    <w:rsid w:val="0034125C"/>
    <w:rsid w:val="003858F3"/>
    <w:rsid w:val="003A6AD2"/>
    <w:rsid w:val="003E4577"/>
    <w:rsid w:val="0040095D"/>
    <w:rsid w:val="0043260E"/>
    <w:rsid w:val="004967B0"/>
    <w:rsid w:val="0050555D"/>
    <w:rsid w:val="005F1E1B"/>
    <w:rsid w:val="00637B95"/>
    <w:rsid w:val="006605B3"/>
    <w:rsid w:val="00694479"/>
    <w:rsid w:val="006C3216"/>
    <w:rsid w:val="007326F8"/>
    <w:rsid w:val="00894295"/>
    <w:rsid w:val="008B5111"/>
    <w:rsid w:val="008B53FE"/>
    <w:rsid w:val="00AF2F4D"/>
    <w:rsid w:val="00BD4672"/>
    <w:rsid w:val="00C83466"/>
    <w:rsid w:val="00D65CF5"/>
    <w:rsid w:val="00DE14F5"/>
    <w:rsid w:val="00EB6DA1"/>
    <w:rsid w:val="01D94F0A"/>
    <w:rsid w:val="055F41FD"/>
    <w:rsid w:val="05767741"/>
    <w:rsid w:val="0596792C"/>
    <w:rsid w:val="06421ACB"/>
    <w:rsid w:val="065E1320"/>
    <w:rsid w:val="06D2764C"/>
    <w:rsid w:val="083F3863"/>
    <w:rsid w:val="08D32E02"/>
    <w:rsid w:val="09105874"/>
    <w:rsid w:val="093B290E"/>
    <w:rsid w:val="0A4A3077"/>
    <w:rsid w:val="0BE2407A"/>
    <w:rsid w:val="0C1B59FD"/>
    <w:rsid w:val="0CB665DC"/>
    <w:rsid w:val="0D7D4133"/>
    <w:rsid w:val="0E733655"/>
    <w:rsid w:val="0F085F8F"/>
    <w:rsid w:val="0F672B67"/>
    <w:rsid w:val="0FEC71BE"/>
    <w:rsid w:val="136E22BE"/>
    <w:rsid w:val="1481719B"/>
    <w:rsid w:val="18293EE0"/>
    <w:rsid w:val="186B23EB"/>
    <w:rsid w:val="1928396E"/>
    <w:rsid w:val="19731E23"/>
    <w:rsid w:val="19DE6C6C"/>
    <w:rsid w:val="1ACB3EC2"/>
    <w:rsid w:val="1BD51DF0"/>
    <w:rsid w:val="1C194249"/>
    <w:rsid w:val="1C734C28"/>
    <w:rsid w:val="1D000D55"/>
    <w:rsid w:val="1D5C17FF"/>
    <w:rsid w:val="1D74674B"/>
    <w:rsid w:val="1FF1129D"/>
    <w:rsid w:val="22DD3440"/>
    <w:rsid w:val="23B83BFD"/>
    <w:rsid w:val="24584399"/>
    <w:rsid w:val="248053AC"/>
    <w:rsid w:val="252A2B08"/>
    <w:rsid w:val="261925E5"/>
    <w:rsid w:val="265700F2"/>
    <w:rsid w:val="26822367"/>
    <w:rsid w:val="26915A31"/>
    <w:rsid w:val="270C2FCF"/>
    <w:rsid w:val="27706983"/>
    <w:rsid w:val="28B128E3"/>
    <w:rsid w:val="28C12B5E"/>
    <w:rsid w:val="29212D48"/>
    <w:rsid w:val="29F83E9E"/>
    <w:rsid w:val="2A45376E"/>
    <w:rsid w:val="2A50069F"/>
    <w:rsid w:val="2B244D88"/>
    <w:rsid w:val="2BF8252E"/>
    <w:rsid w:val="2DC065FF"/>
    <w:rsid w:val="2DC375EA"/>
    <w:rsid w:val="2DDC6834"/>
    <w:rsid w:val="2F3E621B"/>
    <w:rsid w:val="2F675BDA"/>
    <w:rsid w:val="30A71C22"/>
    <w:rsid w:val="314002AB"/>
    <w:rsid w:val="349A09A3"/>
    <w:rsid w:val="35575166"/>
    <w:rsid w:val="356144A8"/>
    <w:rsid w:val="36B64833"/>
    <w:rsid w:val="3764056D"/>
    <w:rsid w:val="3821542B"/>
    <w:rsid w:val="38460FE2"/>
    <w:rsid w:val="395F6B34"/>
    <w:rsid w:val="3A1C05B6"/>
    <w:rsid w:val="3A7958F5"/>
    <w:rsid w:val="3BE53866"/>
    <w:rsid w:val="3C9D18B3"/>
    <w:rsid w:val="3D394C77"/>
    <w:rsid w:val="3D5762B0"/>
    <w:rsid w:val="3E755984"/>
    <w:rsid w:val="402C7BD0"/>
    <w:rsid w:val="423553BA"/>
    <w:rsid w:val="42403571"/>
    <w:rsid w:val="42687272"/>
    <w:rsid w:val="42F548E1"/>
    <w:rsid w:val="43471398"/>
    <w:rsid w:val="455D60E7"/>
    <w:rsid w:val="48465045"/>
    <w:rsid w:val="492C13D0"/>
    <w:rsid w:val="4AE8144F"/>
    <w:rsid w:val="4B3F5CC5"/>
    <w:rsid w:val="4B5207EC"/>
    <w:rsid w:val="4C283E4D"/>
    <w:rsid w:val="4D9E745A"/>
    <w:rsid w:val="4E5E1A3D"/>
    <w:rsid w:val="4FF176AA"/>
    <w:rsid w:val="510A43EC"/>
    <w:rsid w:val="514F58FC"/>
    <w:rsid w:val="52F821E7"/>
    <w:rsid w:val="53726AA8"/>
    <w:rsid w:val="537751ED"/>
    <w:rsid w:val="53831510"/>
    <w:rsid w:val="53DC23CF"/>
    <w:rsid w:val="54852C16"/>
    <w:rsid w:val="551A2EE6"/>
    <w:rsid w:val="56847CD9"/>
    <w:rsid w:val="57776F92"/>
    <w:rsid w:val="58E12236"/>
    <w:rsid w:val="591D7A58"/>
    <w:rsid w:val="5B603B5F"/>
    <w:rsid w:val="5BEE4D1B"/>
    <w:rsid w:val="5C011D88"/>
    <w:rsid w:val="5C121741"/>
    <w:rsid w:val="5C75767D"/>
    <w:rsid w:val="5D1217D3"/>
    <w:rsid w:val="5D196E9C"/>
    <w:rsid w:val="5ED20476"/>
    <w:rsid w:val="62351287"/>
    <w:rsid w:val="62405EF6"/>
    <w:rsid w:val="63182FBB"/>
    <w:rsid w:val="63BA45EF"/>
    <w:rsid w:val="66073537"/>
    <w:rsid w:val="669169F5"/>
    <w:rsid w:val="67EB24D3"/>
    <w:rsid w:val="6B091C2C"/>
    <w:rsid w:val="6B6918D3"/>
    <w:rsid w:val="702C41B2"/>
    <w:rsid w:val="71344BCB"/>
    <w:rsid w:val="72543853"/>
    <w:rsid w:val="732B4A73"/>
    <w:rsid w:val="73C12DA5"/>
    <w:rsid w:val="74DA4333"/>
    <w:rsid w:val="76041CBC"/>
    <w:rsid w:val="767B70C8"/>
    <w:rsid w:val="776267A4"/>
    <w:rsid w:val="779975EF"/>
    <w:rsid w:val="796A2747"/>
    <w:rsid w:val="79AB4912"/>
    <w:rsid w:val="7BDA1FE6"/>
    <w:rsid w:val="7E6005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Indent"/>
    <w:basedOn w:val="1"/>
    <w:next w:val="4"/>
    <w:qFormat/>
    <w:uiPriority w:val="0"/>
    <w:pPr>
      <w:ind w:firstLine="533" w:firstLineChars="166"/>
    </w:pPr>
    <w:rPr>
      <w:rFonts w:ascii="仿宋_GB2312" w:hAnsi="宋体"/>
      <w:b/>
      <w:bCs/>
    </w:rPr>
  </w:style>
  <w:style w:type="paragraph" w:styleId="4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next w:val="4"/>
    <w:link w:val="12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rPr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脚注文本 Char"/>
    <w:basedOn w:val="10"/>
    <w:link w:val="7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649</Words>
  <Characters>3702</Characters>
  <Lines>30</Lines>
  <Paragraphs>8</Paragraphs>
  <TotalTime>3</TotalTime>
  <ScaleCrop>false</ScaleCrop>
  <LinksUpToDate>false</LinksUpToDate>
  <CharactersWithSpaces>4343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2023-07-29T01:09:00Z</dcterms:created>
  <dc:creator>fuxiao</dc:creator>
  <cp:lastModifiedBy>moon</cp:lastModifiedBy>
  <dcterms:modified xsi:type="dcterms:W3CDTF">2023-10-07T07:30:48Z</dcterms:modified>
  <dc:title>烟台市莱山区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6BE1F199DB684768B45450BEFC3130BB</vt:lpwstr>
  </property>
</Properties>
</file>